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100"/>
      </w:pPr>
      <w:r>
        <w:rPr>
          <w:rFonts w:ascii="Calibri" w:cs="Calibri" w:eastAsia="Calibri" w:hAnsi="Calibri"/>
          <w:b/>
          <w:bCs/>
          <w:sz w:val="32"/>
          <w:szCs w:val="32"/>
        </w:rPr>
        <w:t xml:space="preserve">SCARLET RISK LLC</w:t>
      </w:r>
    </w:p>
    <w:p>
      <w:pPr>
        <w:spacing w:after="150"/>
      </w:pPr>
      <w:r>
        <w:rPr>
          <w:rFonts w:ascii="Calibri" w:cs="Calibri" w:eastAsia="Calibri" w:hAnsi="Calibri"/>
          <w:b/>
          <w:bCs/>
          <w:i w:val="false"/>
          <w:iCs w:val="false"/>
          <w:sz w:val="22"/>
          <w:szCs w:val="22"/>
        </w:rPr>
        <w:t xml:space="preserve">Partner Agreement (v2.0 — July 2026 pricing update)</w:t>
      </w:r>
    </w:p>
    <w:p>
      <w:pPr>
        <w:spacing w:after="150"/>
      </w:pPr>
      <w:r>
        <w:rPr>
          <w:rFonts w:ascii="Calibri" w:cs="Calibri" w:eastAsia="Calibri" w:hAnsi="Calibri"/>
          <w:b w:val="false"/>
          <w:bCs w:val="false"/>
          <w:i/>
          <w:iCs/>
          <w:sz w:val="22"/>
          <w:szCs w:val="22"/>
        </w:rPr>
        <w:t xml:space="preserve">Referral · Reseller · Co-Sell · BDR/Outbound Terms</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PLATFORM PROVIDER</w:t>
      </w:r>
    </w:p>
    <w:p>
      <w:pPr>
        <w:spacing w:after="150"/>
      </w:pPr>
      <w:r>
        <w:rPr>
          <w:rFonts w:ascii="Calibri" w:cs="Calibri" w:eastAsia="Calibri" w:hAnsi="Calibri"/>
          <w:b w:val="false"/>
          <w:bCs w:val="false"/>
          <w:i w:val="false"/>
          <w:iCs w:val="false"/>
          <w:sz w:val="22"/>
          <w:szCs w:val="22"/>
        </w:rPr>
        <w:t xml:space="preserve">Scarlet Risk LLC</w:t>
      </w:r>
    </w:p>
    <w:p>
      <w:pPr>
        <w:spacing w:after="150"/>
      </w:pPr>
      <w:r>
        <w:rPr>
          <w:rFonts w:ascii="Calibri" w:cs="Calibri" w:eastAsia="Calibri" w:hAnsi="Calibri"/>
          <w:b w:val="false"/>
          <w:bCs w:val="false"/>
          <w:i w:val="false"/>
          <w:iCs w:val="false"/>
          <w:sz w:val="22"/>
          <w:szCs w:val="22"/>
        </w:rPr>
        <w:t xml:space="preserve">Tampa Bay, Florida</w:t>
      </w:r>
    </w:p>
    <w:p>
      <w:pPr>
        <w:spacing w:after="150"/>
      </w:pPr>
      <w:r>
        <w:rPr>
          <w:rFonts w:ascii="Calibri" w:cs="Calibri" w:eastAsia="Calibri" w:hAnsi="Calibri"/>
          <w:b w:val="false"/>
          <w:bCs w:val="false"/>
          <w:i w:val="false"/>
          <w:iCs w:val="false"/>
          <w:sz w:val="22"/>
          <w:szCs w:val="22"/>
        </w:rPr>
        <w:t xml:space="preserve">pete@scarletrisk.com</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PARTNER</w:t>
      </w:r>
    </w:p>
    <w:p>
      <w:pPr>
        <w:spacing w:after="150"/>
      </w:pPr>
      <w:r>
        <w:rPr>
          <w:rFonts w:ascii="Calibri" w:cs="Calibri" w:eastAsia="Calibri" w:hAnsi="Calibri"/>
          <w:b w:val="false"/>
          <w:bCs w:val="false"/>
          <w:i w:val="false"/>
          <w:iCs w:val="false"/>
          <w:sz w:val="22"/>
          <w:szCs w:val="22"/>
        </w:rPr>
        <w:t xml:space="preserve">Company: _____________________________</w:t>
      </w:r>
    </w:p>
    <w:p>
      <w:pPr>
        <w:spacing w:after="150"/>
      </w:pPr>
      <w:r>
        <w:rPr>
          <w:rFonts w:ascii="Calibri" w:cs="Calibri" w:eastAsia="Calibri" w:hAnsi="Calibri"/>
          <w:b w:val="false"/>
          <w:bCs w:val="false"/>
          <w:i w:val="false"/>
          <w:iCs w:val="false"/>
          <w:sz w:val="22"/>
          <w:szCs w:val="22"/>
        </w:rPr>
        <w:t xml:space="preserve">Contact: _____________________________</w:t>
      </w:r>
    </w:p>
    <w:p>
      <w:pPr>
        <w:spacing w:after="150"/>
      </w:pPr>
      <w:r>
        <w:rPr>
          <w:rFonts w:ascii="Calibri" w:cs="Calibri" w:eastAsia="Calibri" w:hAnsi="Calibri"/>
          <w:b w:val="false"/>
          <w:bCs w:val="false"/>
          <w:i w:val="false"/>
          <w:iCs w:val="false"/>
          <w:sz w:val="22"/>
          <w:szCs w:val="22"/>
        </w:rPr>
        <w:t xml:space="preserve">Email: _____________________________</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Partner Track (check one or more):</w:t>
      </w:r>
    </w:p>
    <w:p>
      <w:pPr>
        <w:spacing w:after="150"/>
      </w:pPr>
      <w:r>
        <w:rPr>
          <w:rFonts w:ascii="Calibri" w:cs="Calibri" w:eastAsia="Calibri" w:hAnsi="Calibri"/>
          <w:b w:val="false"/>
          <w:bCs w:val="false"/>
          <w:i w:val="false"/>
          <w:iCs w:val="false"/>
          <w:sz w:val="22"/>
          <w:szCs w:val="22"/>
        </w:rPr>
        <w:t xml:space="preserve">☐ Referral Partner   ☐ Reseller Partner   ☐ Co-Sell Partner   ☐ BDR/Outbound Partner</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This Partner Agreement ("Agreement") is entered into as of the date last signed below between Scarlet Risk LLC ("Scarlet Risk") and the Partner identified above.</w:t>
      </w:r>
    </w:p>
    <w:p>
      <w:pPr>
        <w:spacing w:after="150"/>
      </w:pPr>
      <w:r>
        <w:rPr>
          <w:rFonts w:ascii="Calibri" w:cs="Calibri" w:eastAsia="Calibri" w:hAnsi="Calibri"/>
          <w:b/>
          <w:bCs/>
          <w:i w:val="false"/>
          <w:iCs w:val="false"/>
          <w:sz w:val="22"/>
          <w:szCs w:val="22"/>
        </w:rPr>
        <w:t xml:space="preserve">1. Partner Tracks &amp; Compensation</w:t>
      </w:r>
    </w:p>
    <w:p>
      <w:pPr>
        <w:spacing w:after="150"/>
      </w:pPr>
      <w:r>
        <w:rPr>
          <w:rFonts w:ascii="Calibri" w:cs="Calibri" w:eastAsia="Calibri" w:hAnsi="Calibri"/>
          <w:b w:val="false"/>
          <w:bCs w:val="false"/>
          <w:i w:val="false"/>
          <w:iCs w:val="false"/>
          <w:sz w:val="22"/>
          <w:szCs w:val="22"/>
        </w:rPr>
        <w:t xml:space="preserve">Partner may participate in one or more of the following tracks: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1500"/>
        <w:gridCol w:w="2100"/>
        <w:gridCol w:w="2900"/>
        <w:gridCol w:w="2500"/>
      </w:tblGrid>
      <w:tr>
        <w:tc>
          <w:tcPr>
            <w:tcW w:type="dxa" w:w="1500"/>
            <w:shd w:fill="C0392B" w:val="clear"/>
          </w:tcPr>
          <w:p>
            <w:r>
              <w:rPr>
                <w:rFonts w:ascii="Calibri" w:cs="Calibri" w:eastAsia="Calibri" w:hAnsi="Calibri"/>
                <w:b/>
                <w:bCs/>
                <w:color w:val="FFFFFF"/>
                <w:sz w:val="20"/>
                <w:szCs w:val="20"/>
              </w:rPr>
              <w:t xml:space="preserve">Track</w:t>
            </w:r>
          </w:p>
        </w:tc>
        <w:tc>
          <w:tcPr>
            <w:tcW w:type="dxa" w:w="2100"/>
            <w:shd w:fill="C0392B" w:val="clear"/>
          </w:tcPr>
          <w:p>
            <w:r>
              <w:rPr>
                <w:rFonts w:ascii="Calibri" w:cs="Calibri" w:eastAsia="Calibri" w:hAnsi="Calibri"/>
                <w:b/>
                <w:bCs/>
                <w:color w:val="FFFFFF"/>
                <w:sz w:val="20"/>
                <w:szCs w:val="20"/>
              </w:rPr>
              <w:t xml:space="preserve">Who It's For</w:t>
            </w:r>
          </w:p>
        </w:tc>
        <w:tc>
          <w:tcPr>
            <w:tcW w:type="dxa" w:w="2900"/>
            <w:shd w:fill="C0392B" w:val="clear"/>
          </w:tcPr>
          <w:p>
            <w:r>
              <w:rPr>
                <w:rFonts w:ascii="Calibri" w:cs="Calibri" w:eastAsia="Calibri" w:hAnsi="Calibri"/>
                <w:b/>
                <w:bCs/>
                <w:color w:val="FFFFFF"/>
                <w:sz w:val="20"/>
                <w:szCs w:val="20"/>
              </w:rPr>
              <w:t xml:space="preserve">How It Works</w:t>
            </w:r>
          </w:p>
        </w:tc>
        <w:tc>
          <w:tcPr>
            <w:tcW w:type="dxa" w:w="2500"/>
            <w:shd w:fill="C0392B" w:val="clear"/>
          </w:tcPr>
          <w:p>
            <w:r>
              <w:rPr>
                <w:rFonts w:ascii="Calibri" w:cs="Calibri" w:eastAsia="Calibri" w:hAnsi="Calibri"/>
                <w:b/>
                <w:bCs/>
                <w:color w:val="FFFFFF"/>
                <w:sz w:val="20"/>
                <w:szCs w:val="20"/>
              </w:rPr>
              <w:t xml:space="preserve">Compensation</w:t>
            </w:r>
          </w:p>
        </w:tc>
      </w:tr>
      <w:tr>
        <w:tc>
          <w:tcPr>
            <w:tcW w:type="dxa" w:w="1500"/>
          </w:tcPr>
          <w:p>
            <w:r>
              <w:rPr>
                <w:rFonts w:ascii="Calibri" w:cs="Calibri" w:eastAsia="Calibri" w:hAnsi="Calibri"/>
                <w:b w:val="false"/>
                <w:bCs w:val="false"/>
                <w:color w:val="000000"/>
                <w:sz w:val="20"/>
                <w:szCs w:val="20"/>
              </w:rPr>
              <w:t xml:space="preserve">Referral</w:t>
            </w:r>
          </w:p>
        </w:tc>
        <w:tc>
          <w:tcPr>
            <w:tcW w:type="dxa" w:w="2100"/>
          </w:tcPr>
          <w:p>
            <w:r>
              <w:rPr>
                <w:rFonts w:ascii="Calibri" w:cs="Calibri" w:eastAsia="Calibri" w:hAnsi="Calibri"/>
                <w:b w:val="false"/>
                <w:bCs w:val="false"/>
                <w:color w:val="000000"/>
                <w:sz w:val="20"/>
                <w:szCs w:val="20"/>
              </w:rPr>
              <w:t xml:space="preserve">Existing customers and advisors</w:t>
            </w:r>
          </w:p>
        </w:tc>
        <w:tc>
          <w:tcPr>
            <w:tcW w:type="dxa" w:w="2900"/>
          </w:tcPr>
          <w:p>
            <w:r>
              <w:rPr>
                <w:rFonts w:ascii="Calibri" w:cs="Calibri" w:eastAsia="Calibri" w:hAnsi="Calibri"/>
                <w:b w:val="false"/>
                <w:bCs w:val="false"/>
                <w:color w:val="000000"/>
                <w:sz w:val="20"/>
                <w:szCs w:val="20"/>
              </w:rPr>
              <w:t xml:space="preserve">Partner refers a prospect. Scarlet Risk closes, onboards, and supports.</w:t>
            </w:r>
          </w:p>
        </w:tc>
        <w:tc>
          <w:tcPr>
            <w:tcW w:type="dxa" w:w="2500"/>
          </w:tcPr>
          <w:p>
            <w:r>
              <w:rPr>
                <w:rFonts w:ascii="Calibri" w:cs="Calibri" w:eastAsia="Calibri" w:hAnsi="Calibri"/>
                <w:b w:val="false"/>
                <w:bCs w:val="false"/>
                <w:color w:val="000000"/>
                <w:sz w:val="20"/>
                <w:szCs w:val="20"/>
              </w:rPr>
              <w:t xml:space="preserve">Account credits: 1 month (Go), 2 months (Pro), 3 months (Elite), 4 months (Team) per referred customer who activates.</w:t>
            </w:r>
          </w:p>
        </w:tc>
      </w:tr>
      <w:tr>
        <w:tc>
          <w:tcPr>
            <w:tcW w:type="dxa" w:w="1500"/>
          </w:tcPr>
          <w:p>
            <w:r>
              <w:rPr>
                <w:rFonts w:ascii="Calibri" w:cs="Calibri" w:eastAsia="Calibri" w:hAnsi="Calibri"/>
                <w:b w:val="false"/>
                <w:bCs w:val="false"/>
                <w:color w:val="000000"/>
                <w:sz w:val="20"/>
                <w:szCs w:val="20"/>
              </w:rPr>
              <w:t xml:space="preserve">Reseller</w:t>
            </w:r>
          </w:p>
        </w:tc>
        <w:tc>
          <w:tcPr>
            <w:tcW w:type="dxa" w:w="2100"/>
          </w:tcPr>
          <w:p>
            <w:r>
              <w:rPr>
                <w:rFonts w:ascii="Calibri" w:cs="Calibri" w:eastAsia="Calibri" w:hAnsi="Calibri"/>
                <w:b w:val="false"/>
                <w:bCs w:val="false"/>
                <w:color w:val="000000"/>
                <w:sz w:val="20"/>
                <w:szCs w:val="20"/>
              </w:rPr>
              <w:t xml:space="preserve">IT consultants, advisors, agencies</w:t>
            </w:r>
          </w:p>
        </w:tc>
        <w:tc>
          <w:tcPr>
            <w:tcW w:type="dxa" w:w="2900"/>
          </w:tcPr>
          <w:p>
            <w:r>
              <w:rPr>
                <w:rFonts w:ascii="Calibri" w:cs="Calibri" w:eastAsia="Calibri" w:hAnsi="Calibri"/>
                <w:b w:val="false"/>
                <w:bCs w:val="false"/>
                <w:color w:val="000000"/>
                <w:sz w:val="20"/>
                <w:szCs w:val="20"/>
              </w:rPr>
              <w:t xml:space="preserve">Partner resells Scarlet Risk at own price. Partner collects payment from clients.</w:t>
            </w:r>
          </w:p>
        </w:tc>
        <w:tc>
          <w:tcPr>
            <w:tcW w:type="dxa" w:w="2500"/>
          </w:tcPr>
          <w:p>
            <w:r>
              <w:rPr>
                <w:rFonts w:ascii="Calibri" w:cs="Calibri" w:eastAsia="Calibri" w:hAnsi="Calibri"/>
                <w:b w:val="false"/>
                <w:bCs w:val="false"/>
                <w:color w:val="000000"/>
                <w:sz w:val="20"/>
                <w:szCs w:val="20"/>
              </w:rPr>
              <w:t xml:space="preserve">Partner keeps 40% of retail price collected. Scarlet Risk invoices Partner for 60% monthly.</w:t>
            </w:r>
          </w:p>
        </w:tc>
      </w:tr>
      <w:tr>
        <w:tc>
          <w:tcPr>
            <w:tcW w:type="dxa" w:w="1500"/>
          </w:tcPr>
          <w:p>
            <w:r>
              <w:rPr>
                <w:rFonts w:ascii="Calibri" w:cs="Calibri" w:eastAsia="Calibri" w:hAnsi="Calibri"/>
                <w:b w:val="false"/>
                <w:bCs w:val="false"/>
                <w:color w:val="000000"/>
                <w:sz w:val="20"/>
                <w:szCs w:val="20"/>
              </w:rPr>
              <w:t xml:space="preserve">Co-Sell</w:t>
            </w:r>
          </w:p>
        </w:tc>
        <w:tc>
          <w:tcPr>
            <w:tcW w:type="dxa" w:w="2100"/>
          </w:tcPr>
          <w:p>
            <w:r>
              <w:rPr>
                <w:rFonts w:ascii="Calibri" w:cs="Calibri" w:eastAsia="Calibri" w:hAnsi="Calibri"/>
                <w:b w:val="false"/>
                <w:bCs w:val="false"/>
                <w:color w:val="000000"/>
                <w:sz w:val="20"/>
                <w:szCs w:val="20"/>
              </w:rPr>
              <w:t xml:space="preserve">Strategic partners, associations</w:t>
            </w:r>
          </w:p>
        </w:tc>
        <w:tc>
          <w:tcPr>
            <w:tcW w:type="dxa" w:w="2900"/>
          </w:tcPr>
          <w:p>
            <w:r>
              <w:rPr>
                <w:rFonts w:ascii="Calibri" w:cs="Calibri" w:eastAsia="Calibri" w:hAnsi="Calibri"/>
                <w:b w:val="false"/>
                <w:bCs w:val="false"/>
                <w:color w:val="000000"/>
                <w:sz w:val="20"/>
                <w:szCs w:val="20"/>
              </w:rPr>
              <w:t xml:space="preserve">Partner introduces and participates in sales process alongside Scarlet Risk.</w:t>
            </w:r>
          </w:p>
        </w:tc>
        <w:tc>
          <w:tcPr>
            <w:tcW w:type="dxa" w:w="2500"/>
          </w:tcPr>
          <w:p>
            <w:r>
              <w:rPr>
                <w:rFonts w:ascii="Calibri" w:cs="Calibri" w:eastAsia="Calibri" w:hAnsi="Calibri"/>
                <w:b w:val="false"/>
                <w:bCs w:val="false"/>
                <w:color w:val="000000"/>
                <w:sz w:val="20"/>
                <w:szCs w:val="20"/>
              </w:rPr>
              <w:t xml:space="preserve">20% of first year ARR per co-sold customer. Paid Net-30 after customer's first payment.</w:t>
            </w:r>
          </w:p>
        </w:tc>
      </w:tr>
      <w:tr>
        <w:tc>
          <w:tcPr>
            <w:tcW w:type="dxa" w:w="1500"/>
          </w:tcPr>
          <w:p>
            <w:r>
              <w:rPr>
                <w:rFonts w:ascii="Calibri" w:cs="Calibri" w:eastAsia="Calibri" w:hAnsi="Calibri"/>
                <w:b w:val="false"/>
                <w:bCs w:val="false"/>
                <w:color w:val="000000"/>
                <w:sz w:val="20"/>
                <w:szCs w:val="20"/>
              </w:rPr>
              <w:t xml:space="preserve">BDR/Outbound</w:t>
            </w:r>
          </w:p>
        </w:tc>
        <w:tc>
          <w:tcPr>
            <w:tcW w:type="dxa" w:w="2100"/>
          </w:tcPr>
          <w:p>
            <w:r>
              <w:rPr>
                <w:rFonts w:ascii="Calibri" w:cs="Calibri" w:eastAsia="Calibri" w:hAnsi="Calibri"/>
                <w:b w:val="false"/>
                <w:bCs w:val="false"/>
                <w:color w:val="000000"/>
                <w:sz w:val="20"/>
                <w:szCs w:val="20"/>
              </w:rPr>
              <w:t xml:space="preserve">Individual contractors, 1099 basis</w:t>
            </w:r>
          </w:p>
        </w:tc>
        <w:tc>
          <w:tcPr>
            <w:tcW w:type="dxa" w:w="2900"/>
          </w:tcPr>
          <w:p>
            <w:r>
              <w:rPr>
                <w:rFonts w:ascii="Calibri" w:cs="Calibri" w:eastAsia="Calibri" w:hAnsi="Calibri"/>
                <w:b w:val="false"/>
                <w:bCs w:val="false"/>
                <w:color w:val="000000"/>
                <w:sz w:val="20"/>
                <w:szCs w:val="20"/>
              </w:rPr>
              <w:t xml:space="preserve">Partner sources leads via email/LinkedIn outreach and books meetings. Scarlet Risk runs the sales conversation and closes.</w:t>
            </w:r>
          </w:p>
        </w:tc>
        <w:tc>
          <w:tcPr>
            <w:tcW w:type="dxa" w:w="2500"/>
          </w:tcPr>
          <w:p>
            <w:r>
              <w:rPr>
                <w:rFonts w:ascii="Calibri" w:cs="Calibri" w:eastAsia="Calibri" w:hAnsi="Calibri"/>
                <w:b w:val="false"/>
                <w:bCs w:val="false"/>
                <w:color w:val="000000"/>
                <w:sz w:val="20"/>
                <w:szCs w:val="20"/>
              </w:rPr>
              <w:t xml:space="preserve">20-25% of first year contract value per closed customer, capped at first year only (no renewal commission). Paid Net-30 after customer's first payment clears. No base pay, no per-meeting fee at this stage.</w:t>
            </w:r>
          </w:p>
        </w:tc>
      </w:tr>
    </w:tbl>
    <w:p>
      <w:pPr>
        <w:spacing w:after="200"/>
      </w:pPr>
      <w:r>
        <w:rPr>
          <w:sz w:val="22"/>
          <w:szCs w:val="22"/>
        </w:rPr>
        <w:t xml:space="preserve"/>
      </w:r>
    </w:p>
    <w:p>
      <w:pPr>
        <w:spacing w:after="150"/>
      </w:pPr>
      <w:r>
        <w:rPr>
          <w:rFonts w:ascii="Calibri" w:cs="Calibri" w:eastAsia="Calibri" w:hAnsi="Calibri"/>
          <w:b w:val="false"/>
          <w:bCs w:val="false"/>
          <w:i/>
          <w:iCs/>
          <w:sz w:val="22"/>
          <w:szCs w:val="22"/>
        </w:rPr>
        <w:t xml:space="preserve">Note on current subscription pricing (for reference only — subject to change per published rates at scarletrisk.com): Go $25/mo, Pro $99/mo, Elite $250/mo, Team $500/mo, each also available at quarterly (5% discount) and annual prepay (15% discount) billing.</w:t>
      </w:r>
    </w:p>
    <w:p>
      <w:pPr>
        <w:spacing w:after="150"/>
      </w:pPr>
      <w:r>
        <w:rPr>
          <w:rFonts w:ascii="Calibri" w:cs="Calibri" w:eastAsia="Calibri" w:hAnsi="Calibri"/>
          <w:b/>
          <w:bCs/>
          <w:i w:val="false"/>
          <w:iCs w:val="false"/>
          <w:sz w:val="22"/>
          <w:szCs w:val="22"/>
        </w:rPr>
        <w:t xml:space="preserve">2. Partner Obligations</w:t>
      </w:r>
    </w:p>
    <w:p>
      <w:pPr>
        <w:pStyle w:val="ListParagraph"/>
        <w:numPr>
          <w:ilvl w:val="0"/>
          <w:numId w:val="1"/>
        </w:numPr>
        <w:spacing w:after="80"/>
      </w:pPr>
      <w:r>
        <w:rPr>
          <w:rFonts w:ascii="Calibri" w:cs="Calibri" w:eastAsia="Calibri" w:hAnsi="Calibri"/>
          <w:sz w:val="22"/>
          <w:szCs w:val="22"/>
        </w:rPr>
        <w:t xml:space="preserve">2.1. Partner shall represent Scarlet Risk's products accurately and shall not make representations inconsistent with Scarlet Risk's published documentation or pricing.</w:t>
      </w:r>
    </w:p>
    <w:p>
      <w:pPr>
        <w:pStyle w:val="ListParagraph"/>
        <w:numPr>
          <w:ilvl w:val="0"/>
          <w:numId w:val="1"/>
        </w:numPr>
        <w:spacing w:after="80"/>
      </w:pPr>
      <w:r>
        <w:rPr>
          <w:rFonts w:ascii="Calibri" w:cs="Calibri" w:eastAsia="Calibri" w:hAnsi="Calibri"/>
          <w:sz w:val="22"/>
          <w:szCs w:val="22"/>
        </w:rPr>
        <w:t xml:space="preserve">2.2. Partner shall promptly notify Scarlet Risk of any prospect or client complaints, legal inquiries, or incidents related to Scarlet Risk's platform.</w:t>
      </w:r>
    </w:p>
    <w:p>
      <w:pPr>
        <w:pStyle w:val="ListParagraph"/>
        <w:numPr>
          <w:ilvl w:val="0"/>
          <w:numId w:val="1"/>
        </w:numPr>
        <w:spacing w:after="80"/>
      </w:pPr>
      <w:r>
        <w:rPr>
          <w:rFonts w:ascii="Calibri" w:cs="Calibri" w:eastAsia="Calibri" w:hAnsi="Calibri"/>
          <w:sz w:val="22"/>
          <w:szCs w:val="22"/>
        </w:rPr>
        <w:t xml:space="preserve">2.3. Reseller Partners are responsible for billing their clients, first-line support, and ensuring clients comply with Scarlet Risk's acceptable use policies.</w:t>
      </w:r>
    </w:p>
    <w:p>
      <w:pPr>
        <w:pStyle w:val="ListParagraph"/>
        <w:numPr>
          <w:ilvl w:val="0"/>
          <w:numId w:val="1"/>
        </w:numPr>
        <w:spacing w:after="80"/>
      </w:pPr>
      <w:r>
        <w:rPr>
          <w:rFonts w:ascii="Calibri" w:cs="Calibri" w:eastAsia="Calibri" w:hAnsi="Calibri"/>
          <w:sz w:val="22"/>
          <w:szCs w:val="22"/>
        </w:rPr>
        <w:t xml:space="preserve">2.4. Partner shall not make commitments, warranties, or guarantees on behalf of Scarlet Risk beyond what is published at scarletrisk.com.</w:t>
      </w:r>
    </w:p>
    <w:p>
      <w:pPr>
        <w:pStyle w:val="ListParagraph"/>
        <w:numPr>
          <w:ilvl w:val="0"/>
          <w:numId w:val="1"/>
        </w:numPr>
        <w:spacing w:after="80"/>
      </w:pPr>
      <w:r>
        <w:rPr>
          <w:rFonts w:ascii="Calibri" w:cs="Calibri" w:eastAsia="Calibri" w:hAnsi="Calibri"/>
          <w:sz w:val="22"/>
          <w:szCs w:val="22"/>
        </w:rPr>
        <w:t xml:space="preserve">2.5. Partner shall comply with all applicable laws in marketing and promoting Scarlet Risk's services.</w:t>
      </w:r>
    </w:p>
    <w:p>
      <w:pPr>
        <w:pStyle w:val="ListParagraph"/>
        <w:numPr>
          <w:ilvl w:val="0"/>
          <w:numId w:val="1"/>
        </w:numPr>
        <w:spacing w:after="80"/>
      </w:pPr>
      <w:r>
        <w:rPr>
          <w:rFonts w:ascii="Calibri" w:cs="Calibri" w:eastAsia="Calibri" w:hAnsi="Calibri"/>
          <w:sz w:val="22"/>
          <w:szCs w:val="22"/>
        </w:rPr>
        <w:t xml:space="preserve">2.6. BDR/Outbound Partners shall accurately represent themselves in outreach (no impersonation of Scarlet Risk employees) and shall not send outreach that violates CAN-SPAM, CASL, or applicable anti-spam regulations. Partner is solely responsible for the content and delivery method of their own outreach.</w:t>
      </w:r>
    </w:p>
    <w:p>
      <w:pPr>
        <w:pStyle w:val="ListParagraph"/>
        <w:numPr>
          <w:ilvl w:val="0"/>
          <w:numId w:val="1"/>
        </w:numPr>
        <w:spacing w:after="80"/>
      </w:pPr>
      <w:r>
        <w:rPr>
          <w:rFonts w:ascii="Calibri" w:cs="Calibri" w:eastAsia="Calibri" w:hAnsi="Calibri"/>
          <w:sz w:val="22"/>
          <w:szCs w:val="22"/>
        </w:rPr>
        <w:t xml:space="preserve">2.7. BDR/Outbound Partners shall only book meetings with prospects who have expressed genuine interest; booking meetings solely to trigger compensation eligibility without a good-faith basis for fit is a material breach of this Agreement.</w:t>
      </w:r>
    </w:p>
    <w:p>
      <w:pPr>
        <w:spacing w:after="150"/>
      </w:pPr>
      <w:r>
        <w:rPr>
          <w:rFonts w:ascii="Calibri" w:cs="Calibri" w:eastAsia="Calibri" w:hAnsi="Calibri"/>
          <w:b/>
          <w:bCs/>
          <w:i w:val="false"/>
          <w:iCs w:val="false"/>
          <w:sz w:val="22"/>
          <w:szCs w:val="22"/>
        </w:rPr>
        <w:t xml:space="preserve">3. Referral, Reseller &amp; BDR Tracking &amp; Payment</w:t>
      </w:r>
    </w:p>
    <w:p>
      <w:pPr>
        <w:pStyle w:val="ListParagraph"/>
        <w:numPr>
          <w:ilvl w:val="0"/>
          <w:numId w:val="1"/>
        </w:numPr>
        <w:spacing w:after="80"/>
      </w:pPr>
      <w:r>
        <w:rPr>
          <w:rFonts w:ascii="Calibri" w:cs="Calibri" w:eastAsia="Calibri" w:hAnsi="Calibri"/>
          <w:sz w:val="22"/>
          <w:szCs w:val="22"/>
        </w:rPr>
        <w:t xml:space="preserve">3.1. All referrals and BDR-sourced meetings must be submitted to pete@scarletrisk.com before or concurrent with the prospect's first contact with Scarlet Risk to be eligible for compensation.</w:t>
      </w:r>
    </w:p>
    <w:p>
      <w:pPr>
        <w:pStyle w:val="ListParagraph"/>
        <w:numPr>
          <w:ilvl w:val="0"/>
          <w:numId w:val="1"/>
        </w:numPr>
        <w:spacing w:after="80"/>
      </w:pPr>
      <w:r>
        <w:rPr>
          <w:rFonts w:ascii="Calibri" w:cs="Calibri" w:eastAsia="Calibri" w:hAnsi="Calibri"/>
          <w:sz w:val="22"/>
          <w:szCs w:val="22"/>
        </w:rPr>
        <w:t xml:space="preserve">3.2. Referral credits are applied to Partner's account within 5 business days of the referred customer completing their first paid billing cycle.</w:t>
      </w:r>
    </w:p>
    <w:p>
      <w:pPr>
        <w:pStyle w:val="ListParagraph"/>
        <w:numPr>
          <w:ilvl w:val="0"/>
          <w:numId w:val="1"/>
        </w:numPr>
        <w:spacing w:after="80"/>
      </w:pPr>
      <w:r>
        <w:rPr>
          <w:rFonts w:ascii="Calibri" w:cs="Calibri" w:eastAsia="Calibri" w:hAnsi="Calibri"/>
          <w:sz w:val="22"/>
          <w:szCs w:val="22"/>
        </w:rPr>
        <w:t xml:space="preserve">3.3. Cash commissions (Co-Sell and BDR/Outbound tracks) are paid via ACH, check, or Stripe within 30 days of the referred customer's first payment clearing.</w:t>
      </w:r>
    </w:p>
    <w:p>
      <w:pPr>
        <w:pStyle w:val="ListParagraph"/>
        <w:numPr>
          <w:ilvl w:val="0"/>
          <w:numId w:val="1"/>
        </w:numPr>
        <w:spacing w:after="80"/>
      </w:pPr>
      <w:r>
        <w:rPr>
          <w:rFonts w:ascii="Calibri" w:cs="Calibri" w:eastAsia="Calibri" w:hAnsi="Calibri"/>
          <w:sz w:val="22"/>
          <w:szCs w:val="22"/>
        </w:rPr>
        <w:t xml:space="preserve">3.4. BDR/Outbound commissions are calculated on first-year contract value only, based on the customer's selected billing frequency (monthly, quarterly, or annual prepay) at time of close. No commission is paid on renewals, upgrades occurring after the first year, or upsells not directly resulting from Partner's original introduction.</w:t>
      </w:r>
    </w:p>
    <w:p>
      <w:pPr>
        <w:pStyle w:val="ListParagraph"/>
        <w:numPr>
          <w:ilvl w:val="0"/>
          <w:numId w:val="1"/>
        </w:numPr>
        <w:spacing w:after="80"/>
      </w:pPr>
      <w:r>
        <w:rPr>
          <w:rFonts w:ascii="Calibri" w:cs="Calibri" w:eastAsia="Calibri" w:hAnsi="Calibri"/>
          <w:sz w:val="22"/>
          <w:szCs w:val="22"/>
        </w:rPr>
        <w:t xml:space="preserve">3.5. A W-9 is required before any cash payment exceeding $600 in a calendar year. A 1099-NEC will be issued for qualifying payments.</w:t>
      </w:r>
    </w:p>
    <w:p>
      <w:pPr>
        <w:pStyle w:val="ListParagraph"/>
        <w:numPr>
          <w:ilvl w:val="0"/>
          <w:numId w:val="1"/>
        </w:numPr>
        <w:spacing w:after="80"/>
      </w:pPr>
      <w:r>
        <w:rPr>
          <w:rFonts w:ascii="Calibri" w:cs="Calibri" w:eastAsia="Calibri" w:hAnsi="Calibri"/>
          <w:sz w:val="22"/>
          <w:szCs w:val="22"/>
        </w:rPr>
        <w:t xml:space="preserve">3.6. Referrals and BDR-sourced leads must be net-new customers not previously in Scarlet Risk's CRM system. Existing contacts are not eligible.</w:t>
      </w:r>
    </w:p>
    <w:p>
      <w:pPr>
        <w:pStyle w:val="ListParagraph"/>
        <w:numPr>
          <w:ilvl w:val="0"/>
          <w:numId w:val="1"/>
        </w:numPr>
        <w:spacing w:after="80"/>
      </w:pPr>
      <w:r>
        <w:rPr>
          <w:rFonts w:ascii="Calibri" w:cs="Calibri" w:eastAsia="Calibri" w:hAnsi="Calibri"/>
          <w:sz w:val="22"/>
          <w:szCs w:val="22"/>
        </w:rPr>
        <w:t xml:space="preserve">3.7. Reseller Partners will receive a monthly invoice from Scarlet Risk for 60% of retail revenue collected. Payment is due Net-30.</w:t>
      </w:r>
    </w:p>
    <w:p>
      <w:pPr>
        <w:spacing w:after="150"/>
      </w:pPr>
      <w:r>
        <w:rPr>
          <w:rFonts w:ascii="Calibri" w:cs="Calibri" w:eastAsia="Calibri" w:hAnsi="Calibri"/>
          <w:b/>
          <w:bCs/>
          <w:i w:val="false"/>
          <w:iCs w:val="false"/>
          <w:sz w:val="22"/>
          <w:szCs w:val="22"/>
        </w:rPr>
        <w:t xml:space="preserve">4. Quick Win Bonuses</w:t>
      </w:r>
    </w:p>
    <w:p>
      <w:pPr>
        <w:spacing w:after="150"/>
      </w:pPr>
      <w:r>
        <w:rPr>
          <w:rFonts w:ascii="Calibri" w:cs="Calibri" w:eastAsia="Calibri" w:hAnsi="Calibri"/>
          <w:b w:val="false"/>
          <w:bCs w:val="false"/>
          <w:i w:val="false"/>
          <w:iCs w:val="false"/>
          <w:sz w:val="22"/>
          <w:szCs w:val="22"/>
        </w:rPr>
        <w:t xml:space="preserve">In addition to standard compensation, Partner may earn the following one-time bonuses:</w:t>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6400"/>
        <w:gridCol w:w="2600"/>
      </w:tblGrid>
      <w:tr>
        <w:tc>
          <w:tcPr>
            <w:tcW w:type="dxa" w:w="6400"/>
            <w:shd w:fill="C0392B" w:val="clear"/>
          </w:tcPr>
          <w:p>
            <w:r>
              <w:rPr>
                <w:rFonts w:ascii="Calibri" w:cs="Calibri" w:eastAsia="Calibri" w:hAnsi="Calibri"/>
                <w:b/>
                <w:bCs/>
                <w:color w:val="FFFFFF"/>
                <w:sz w:val="20"/>
                <w:szCs w:val="20"/>
              </w:rPr>
              <w:t xml:space="preserve">Milestone</w:t>
            </w:r>
          </w:p>
        </w:tc>
        <w:tc>
          <w:tcPr>
            <w:tcW w:type="dxa" w:w="2600"/>
            <w:shd w:fill="C0392B" w:val="clear"/>
          </w:tcPr>
          <w:p>
            <w:r>
              <w:rPr>
                <w:rFonts w:ascii="Calibri" w:cs="Calibri" w:eastAsia="Calibri" w:hAnsi="Calibri"/>
                <w:b/>
                <w:bCs/>
                <w:color w:val="FFFFFF"/>
                <w:sz w:val="20"/>
                <w:szCs w:val="20"/>
              </w:rPr>
              <w:t xml:space="preserve">Bonus</w:t>
            </w:r>
          </w:p>
        </w:tc>
      </w:tr>
      <w:tr>
        <w:tc>
          <w:tcPr>
            <w:tcW w:type="dxa" w:w="6400"/>
          </w:tcPr>
          <w:p>
            <w:r>
              <w:rPr>
                <w:rFonts w:ascii="Calibri" w:cs="Calibri" w:eastAsia="Calibri" w:hAnsi="Calibri"/>
                <w:b w:val="false"/>
                <w:bCs w:val="false"/>
                <w:color w:val="000000"/>
                <w:sz w:val="20"/>
                <w:szCs w:val="20"/>
              </w:rPr>
              <w:t xml:space="preserve">Refer 3 paying customers within first 30 days</w:t>
            </w:r>
          </w:p>
        </w:tc>
        <w:tc>
          <w:tcPr>
            <w:tcW w:type="dxa" w:w="2600"/>
          </w:tcPr>
          <w:p>
            <w:r>
              <w:rPr>
                <w:rFonts w:ascii="Calibri" w:cs="Calibri" w:eastAsia="Calibri" w:hAnsi="Calibri"/>
                <w:b w:val="false"/>
                <w:bCs w:val="false"/>
                <w:color w:val="000000"/>
                <w:sz w:val="20"/>
                <w:szCs w:val="20"/>
              </w:rPr>
              <w:t xml:space="preserve">$100 gift card</w:t>
            </w:r>
          </w:p>
        </w:tc>
      </w:tr>
      <w:tr>
        <w:tc>
          <w:tcPr>
            <w:tcW w:type="dxa" w:w="6400"/>
          </w:tcPr>
          <w:p>
            <w:r>
              <w:rPr>
                <w:rFonts w:ascii="Calibri" w:cs="Calibri" w:eastAsia="Calibri" w:hAnsi="Calibri"/>
                <w:b w:val="false"/>
                <w:bCs w:val="false"/>
                <w:color w:val="000000"/>
                <w:sz w:val="20"/>
                <w:szCs w:val="20"/>
              </w:rPr>
              <w:t xml:space="preserve">Refer an MSP who activates white-label partnership</w:t>
            </w:r>
          </w:p>
        </w:tc>
        <w:tc>
          <w:tcPr>
            <w:tcW w:type="dxa" w:w="2600"/>
          </w:tcPr>
          <w:p>
            <w:r>
              <w:rPr>
                <w:rFonts w:ascii="Calibri" w:cs="Calibri" w:eastAsia="Calibri" w:hAnsi="Calibri"/>
                <w:b w:val="false"/>
                <w:bCs w:val="false"/>
                <w:color w:val="000000"/>
                <w:sz w:val="20"/>
                <w:szCs w:val="20"/>
              </w:rPr>
              <w:t xml:space="preserve">$500 after 90 days active</w:t>
            </w:r>
          </w:p>
        </w:tc>
      </w:tr>
      <w:tr>
        <w:tc>
          <w:tcPr>
            <w:tcW w:type="dxa" w:w="6400"/>
          </w:tcPr>
          <w:p>
            <w:r>
              <w:rPr>
                <w:rFonts w:ascii="Calibri" w:cs="Calibri" w:eastAsia="Calibri" w:hAnsi="Calibri"/>
                <w:b w:val="false"/>
                <w:bCs w:val="false"/>
                <w:color w:val="000000"/>
                <w:sz w:val="20"/>
                <w:szCs w:val="20"/>
              </w:rPr>
              <w:t xml:space="preserve">Provide a published case study or testimonial</w:t>
            </w:r>
          </w:p>
        </w:tc>
        <w:tc>
          <w:tcPr>
            <w:tcW w:type="dxa" w:w="2600"/>
          </w:tcPr>
          <w:p>
            <w:r>
              <w:rPr>
                <w:rFonts w:ascii="Calibri" w:cs="Calibri" w:eastAsia="Calibri" w:hAnsi="Calibri"/>
                <w:b w:val="false"/>
                <w:bCs w:val="false"/>
                <w:color w:val="000000"/>
                <w:sz w:val="20"/>
                <w:szCs w:val="20"/>
              </w:rPr>
              <w:t xml:space="preserve">1 month free on any plan</w:t>
            </w:r>
          </w:p>
        </w:tc>
      </w:tr>
      <w:tr>
        <w:tc>
          <w:tcPr>
            <w:tcW w:type="dxa" w:w="6400"/>
          </w:tcPr>
          <w:p>
            <w:r>
              <w:rPr>
                <w:rFonts w:ascii="Calibri" w:cs="Calibri" w:eastAsia="Calibri" w:hAnsi="Calibri"/>
                <w:b w:val="false"/>
                <w:bCs w:val="false"/>
                <w:color w:val="000000"/>
                <w:sz w:val="20"/>
                <w:szCs w:val="20"/>
              </w:rPr>
              <w:t xml:space="preserve">Speak publicly about Scarlet Risk at an event or podcast</w:t>
            </w:r>
          </w:p>
        </w:tc>
        <w:tc>
          <w:tcPr>
            <w:tcW w:type="dxa" w:w="2600"/>
          </w:tcPr>
          <w:p>
            <w:r>
              <w:rPr>
                <w:rFonts w:ascii="Calibri" w:cs="Calibri" w:eastAsia="Calibri" w:hAnsi="Calibri"/>
                <w:b w:val="false"/>
                <w:bCs w:val="false"/>
                <w:color w:val="000000"/>
                <w:sz w:val="20"/>
                <w:szCs w:val="20"/>
              </w:rPr>
              <w:t xml:space="preserve">$250 honorarium or equivalent credit</w:t>
            </w:r>
          </w:p>
        </w:tc>
      </w:tr>
    </w:tbl>
    <w:p>
      <w:pPr>
        <w:spacing w:after="150"/>
      </w:pPr>
      <w:r>
        <w:rPr>
          <w:rFonts w:ascii="Calibri" w:cs="Calibri" w:eastAsia="Calibri" w:hAnsi="Calibri"/>
          <w:b/>
          <w:bCs/>
          <w:i w:val="false"/>
          <w:iCs w:val="false"/>
          <w:sz w:val="22"/>
          <w:szCs w:val="22"/>
        </w:rPr>
        <w:t xml:space="preserve">5. Intellectual Property &amp; Branding</w:t>
      </w:r>
    </w:p>
    <w:p>
      <w:pPr>
        <w:pStyle w:val="ListParagraph"/>
        <w:numPr>
          <w:ilvl w:val="0"/>
          <w:numId w:val="1"/>
        </w:numPr>
        <w:spacing w:after="80"/>
      </w:pPr>
      <w:r>
        <w:rPr>
          <w:rFonts w:ascii="Calibri" w:cs="Calibri" w:eastAsia="Calibri" w:hAnsi="Calibri"/>
          <w:sz w:val="22"/>
          <w:szCs w:val="22"/>
        </w:rPr>
        <w:t xml:space="preserve">5.1. Scarlet Risk retains all intellectual property rights in its platform, brand, and technology.</w:t>
      </w:r>
    </w:p>
    <w:p>
      <w:pPr>
        <w:pStyle w:val="ListParagraph"/>
        <w:numPr>
          <w:ilvl w:val="0"/>
          <w:numId w:val="1"/>
        </w:numPr>
        <w:spacing w:after="80"/>
      </w:pPr>
      <w:r>
        <w:rPr>
          <w:rFonts w:ascii="Calibri" w:cs="Calibri" w:eastAsia="Calibri" w:hAnsi="Calibri"/>
          <w:sz w:val="22"/>
          <w:szCs w:val="22"/>
        </w:rPr>
        <w:t xml:space="preserve">5.2. Partner may identify itself as an authorized Scarlet Risk partner in marketing materials. Any use of Scarlet Risk's logo or trademark requires prior written approval from Scarlet Risk.</w:t>
      </w:r>
    </w:p>
    <w:p>
      <w:pPr>
        <w:pStyle w:val="ListParagraph"/>
        <w:numPr>
          <w:ilvl w:val="0"/>
          <w:numId w:val="1"/>
        </w:numPr>
        <w:spacing w:after="80"/>
      </w:pPr>
      <w:r>
        <w:rPr>
          <w:rFonts w:ascii="Calibri" w:cs="Calibri" w:eastAsia="Calibri" w:hAnsi="Calibri"/>
          <w:sz w:val="22"/>
          <w:szCs w:val="22"/>
        </w:rPr>
        <w:t xml:space="preserve">5.3. Scarlet Risk may list Partner as a referral, reseller, or BDR/outbound partner on scarletrisk.com unless Partner requests otherwise in writing.</w:t>
      </w:r>
    </w:p>
    <w:p>
      <w:pPr>
        <w:spacing w:after="150"/>
      </w:pPr>
      <w:r>
        <w:rPr>
          <w:rFonts w:ascii="Calibri" w:cs="Calibri" w:eastAsia="Calibri" w:hAnsi="Calibri"/>
          <w:b/>
          <w:bCs/>
          <w:i w:val="false"/>
          <w:iCs w:val="false"/>
          <w:sz w:val="22"/>
          <w:szCs w:val="22"/>
        </w:rPr>
        <w:t xml:space="preserve">6. Confidentiality</w:t>
      </w:r>
    </w:p>
    <w:p>
      <w:pPr>
        <w:pStyle w:val="ListParagraph"/>
        <w:numPr>
          <w:ilvl w:val="0"/>
          <w:numId w:val="1"/>
        </w:numPr>
        <w:spacing w:after="80"/>
      </w:pPr>
      <w:r>
        <w:rPr>
          <w:rFonts w:ascii="Calibri" w:cs="Calibri" w:eastAsia="Calibri" w:hAnsi="Calibri"/>
          <w:sz w:val="22"/>
          <w:szCs w:val="22"/>
        </w:rPr>
        <w:t xml:space="preserve">6.1. Each party agrees to keep confidential all non-public information received from the other party including pricing, client lists, technology details, and business strategies.</w:t>
      </w:r>
    </w:p>
    <w:p>
      <w:pPr>
        <w:pStyle w:val="ListParagraph"/>
        <w:numPr>
          <w:ilvl w:val="0"/>
          <w:numId w:val="1"/>
        </w:numPr>
        <w:spacing w:after="80"/>
      </w:pPr>
      <w:r>
        <w:rPr>
          <w:rFonts w:ascii="Calibri" w:cs="Calibri" w:eastAsia="Calibri" w:hAnsi="Calibri"/>
          <w:sz w:val="22"/>
          <w:szCs w:val="22"/>
        </w:rPr>
        <w:t xml:space="preserve">6.2. Confidential information shall not be disclosed to third parties without prior written consent. These obligations survive termination for three (3) years.</w:t>
      </w:r>
    </w:p>
    <w:p>
      <w:pPr>
        <w:spacing w:after="150"/>
      </w:pPr>
      <w:r>
        <w:rPr>
          <w:rFonts w:ascii="Calibri" w:cs="Calibri" w:eastAsia="Calibri" w:hAnsi="Calibri"/>
          <w:b/>
          <w:bCs/>
          <w:i w:val="false"/>
          <w:iCs w:val="false"/>
          <w:sz w:val="22"/>
          <w:szCs w:val="22"/>
        </w:rPr>
        <w:t xml:space="preserve">7. Term &amp; Termination</w:t>
      </w:r>
    </w:p>
    <w:p>
      <w:pPr>
        <w:pStyle w:val="ListParagraph"/>
        <w:numPr>
          <w:ilvl w:val="0"/>
          <w:numId w:val="1"/>
        </w:numPr>
        <w:spacing w:after="80"/>
      </w:pPr>
      <w:r>
        <w:rPr>
          <w:rFonts w:ascii="Calibri" w:cs="Calibri" w:eastAsia="Calibri" w:hAnsi="Calibri"/>
          <w:sz w:val="22"/>
          <w:szCs w:val="22"/>
        </w:rPr>
        <w:t xml:space="preserve">7.1. This Agreement begins on the Effective Date and continues until terminated by either party with thirty (30) days written notice.</w:t>
      </w:r>
    </w:p>
    <w:p>
      <w:pPr>
        <w:pStyle w:val="ListParagraph"/>
        <w:numPr>
          <w:ilvl w:val="0"/>
          <w:numId w:val="1"/>
        </w:numPr>
        <w:spacing w:after="80"/>
      </w:pPr>
      <w:r>
        <w:rPr>
          <w:rFonts w:ascii="Calibri" w:cs="Calibri" w:eastAsia="Calibri" w:hAnsi="Calibri"/>
          <w:sz w:val="22"/>
          <w:szCs w:val="22"/>
        </w:rPr>
        <w:t xml:space="preserve">7.2. Either party may terminate immediately for material breach that is not cured within 14 days of written notice.</w:t>
      </w:r>
    </w:p>
    <w:p>
      <w:pPr>
        <w:pStyle w:val="ListParagraph"/>
        <w:numPr>
          <w:ilvl w:val="0"/>
          <w:numId w:val="1"/>
        </w:numPr>
        <w:spacing w:after="80"/>
      </w:pPr>
      <w:r>
        <w:rPr>
          <w:rFonts w:ascii="Calibri" w:cs="Calibri" w:eastAsia="Calibri" w:hAnsi="Calibri"/>
          <w:sz w:val="22"/>
          <w:szCs w:val="22"/>
        </w:rPr>
        <w:t xml:space="preserve">7.3. Upon termination, all pending commissions for already-closed customers remain payable per the terms above. No new referrals or BDR-sourced leads will be credited after the termination date.</w:t>
      </w:r>
    </w:p>
    <w:p>
      <w:pPr>
        <w:spacing w:after="150"/>
      </w:pPr>
      <w:r>
        <w:rPr>
          <w:rFonts w:ascii="Calibri" w:cs="Calibri" w:eastAsia="Calibri" w:hAnsi="Calibri"/>
          <w:b/>
          <w:bCs/>
          <w:i w:val="false"/>
          <w:iCs w:val="false"/>
          <w:sz w:val="22"/>
          <w:szCs w:val="22"/>
        </w:rPr>
        <w:t xml:space="preserve">8. Limitation of Liability &amp; Disclaimers</w:t>
      </w:r>
    </w:p>
    <w:p>
      <w:pPr>
        <w:pStyle w:val="ListParagraph"/>
        <w:numPr>
          <w:ilvl w:val="0"/>
          <w:numId w:val="1"/>
        </w:numPr>
        <w:spacing w:after="80"/>
      </w:pPr>
      <w:r>
        <w:rPr>
          <w:rFonts w:ascii="Calibri" w:cs="Calibri" w:eastAsia="Calibri" w:hAnsi="Calibri"/>
          <w:sz w:val="22"/>
          <w:szCs w:val="22"/>
        </w:rPr>
        <w:t xml:space="preserve">8.1. SCARLET RISK'S TOTAL LIABILITY TO PARTNER SHALL NOT EXCEED THE TOTAL COMPENSATION PAID TO PARTNER IN THE THREE MONTHS PRECEDING THE CLAIM.</w:t>
      </w:r>
    </w:p>
    <w:p>
      <w:pPr>
        <w:pStyle w:val="ListParagraph"/>
        <w:numPr>
          <w:ilvl w:val="0"/>
          <w:numId w:val="1"/>
        </w:numPr>
        <w:spacing w:after="80"/>
      </w:pPr>
      <w:r>
        <w:rPr>
          <w:rFonts w:ascii="Calibri" w:cs="Calibri" w:eastAsia="Calibri" w:hAnsi="Calibri"/>
          <w:sz w:val="22"/>
          <w:szCs w:val="22"/>
        </w:rPr>
        <w:t xml:space="preserve">8.2. NEITHER PARTY SHALL BE LIABLE FOR INDIRECT, INCIDENTAL, OR CONSEQUENTIAL DAMAGES.</w:t>
      </w:r>
    </w:p>
    <w:p>
      <w:pPr>
        <w:pStyle w:val="ListParagraph"/>
        <w:numPr>
          <w:ilvl w:val="0"/>
          <w:numId w:val="1"/>
        </w:numPr>
        <w:spacing w:after="80"/>
      </w:pPr>
      <w:r>
        <w:rPr>
          <w:rFonts w:ascii="Calibri" w:cs="Calibri" w:eastAsia="Calibri" w:hAnsi="Calibri"/>
          <w:sz w:val="22"/>
          <w:szCs w:val="22"/>
        </w:rPr>
        <w:t xml:space="preserve">8.3. THE SCARLET RISK PLATFORM IS A RISK INTELLIGENCE TOOL AND DOES NOT CONSTITUTE LEGAL, COMPLIANCE, OR REGULATORY ADVICE.</w:t>
      </w:r>
    </w:p>
    <w:p>
      <w:pPr>
        <w:spacing w:after="150"/>
      </w:pPr>
      <w:r>
        <w:rPr>
          <w:rFonts w:ascii="Calibri" w:cs="Calibri" w:eastAsia="Calibri" w:hAnsi="Calibri"/>
          <w:b/>
          <w:bCs/>
          <w:i w:val="false"/>
          <w:iCs w:val="false"/>
          <w:sz w:val="22"/>
          <w:szCs w:val="22"/>
        </w:rPr>
        <w:t xml:space="preserve">9. General</w:t>
      </w:r>
    </w:p>
    <w:p>
      <w:pPr>
        <w:pStyle w:val="ListParagraph"/>
        <w:numPr>
          <w:ilvl w:val="0"/>
          <w:numId w:val="1"/>
        </w:numPr>
        <w:spacing w:after="80"/>
      </w:pPr>
      <w:r>
        <w:rPr>
          <w:rFonts w:ascii="Calibri" w:cs="Calibri" w:eastAsia="Calibri" w:hAnsi="Calibri"/>
          <w:sz w:val="22"/>
          <w:szCs w:val="22"/>
        </w:rPr>
        <w:t xml:space="preserve">9.1. Governing Law. This Agreement is governed by the laws of the State of Florida.</w:t>
      </w:r>
    </w:p>
    <w:p>
      <w:pPr>
        <w:pStyle w:val="ListParagraph"/>
        <w:numPr>
          <w:ilvl w:val="0"/>
          <w:numId w:val="1"/>
        </w:numPr>
        <w:spacing w:after="80"/>
      </w:pPr>
      <w:r>
        <w:rPr>
          <w:rFonts w:ascii="Calibri" w:cs="Calibri" w:eastAsia="Calibri" w:hAnsi="Calibri"/>
          <w:sz w:val="22"/>
          <w:szCs w:val="22"/>
        </w:rPr>
        <w:t xml:space="preserve">9.2. Entire Agreement. This Agreement constitutes the entire agreement between the parties regarding its subject matter.</w:t>
      </w:r>
    </w:p>
    <w:p>
      <w:pPr>
        <w:pStyle w:val="ListParagraph"/>
        <w:numPr>
          <w:ilvl w:val="0"/>
          <w:numId w:val="1"/>
        </w:numPr>
        <w:spacing w:after="80"/>
      </w:pPr>
      <w:r>
        <w:rPr>
          <w:rFonts w:ascii="Calibri" w:cs="Calibri" w:eastAsia="Calibri" w:hAnsi="Calibri"/>
          <w:sz w:val="22"/>
          <w:szCs w:val="22"/>
        </w:rPr>
        <w:t xml:space="preserve">9.3. Amendment. Amendments require written consent of both parties.</w:t>
      </w:r>
    </w:p>
    <w:p>
      <w:pPr>
        <w:pStyle w:val="ListParagraph"/>
        <w:numPr>
          <w:ilvl w:val="0"/>
          <w:numId w:val="1"/>
        </w:numPr>
        <w:spacing w:after="80"/>
      </w:pPr>
      <w:r>
        <w:rPr>
          <w:rFonts w:ascii="Calibri" w:cs="Calibri" w:eastAsia="Calibri" w:hAnsi="Calibri"/>
          <w:sz w:val="22"/>
          <w:szCs w:val="22"/>
        </w:rPr>
        <w:t xml:space="preserve">9.4. Independent Contractors. The parties are independent contractors. Nothing herein creates an employment, agency, or joint venture relationship. This applies specifically to BDR/Outbound Partners, who control their own hours, methods, and tools of outreach.</w:t>
      </w:r>
    </w:p>
    <w:p>
      <w:pPr>
        <w:pStyle w:val="ListParagraph"/>
        <w:numPr>
          <w:ilvl w:val="0"/>
          <w:numId w:val="1"/>
        </w:numPr>
        <w:spacing w:after="80"/>
      </w:pPr>
      <w:r>
        <w:rPr>
          <w:rFonts w:ascii="Calibri" w:cs="Calibri" w:eastAsia="Calibri" w:hAnsi="Calibri"/>
          <w:sz w:val="22"/>
          <w:szCs w:val="22"/>
        </w:rPr>
        <w:t xml:space="preserve">9.5. Severability. If any provision is unenforceable, remaining provisions continue in full force.</w:t>
      </w:r>
    </w:p>
    <w:p>
      <w:pPr>
        <w:spacing w:after="200"/>
      </w:pPr>
      <w:r>
        <w:rPr>
          <w:sz w:val="22"/>
          <w:szCs w:val="22"/>
        </w:rPr>
        <w:t xml:space="preserve"/>
      </w:r>
    </w:p>
    <w:p>
      <w:pPr>
        <w:spacing w:after="150"/>
      </w:pPr>
      <w:r>
        <w:rPr>
          <w:rFonts w:ascii="Calibri" w:cs="Calibri" w:eastAsia="Calibri" w:hAnsi="Calibri"/>
          <w:b w:val="false"/>
          <w:bCs w:val="false"/>
          <w:i/>
          <w:iCs/>
          <w:sz w:val="22"/>
          <w:szCs w:val="22"/>
        </w:rPr>
        <w:t xml:space="preserve">IN WITNESS WHEREOF, the parties have executed this Agreement as of the date last signed below.</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SCARLET RISK LLC                    PARTNER</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Signature                           Signature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Printed Name                        Printed Name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Title                               Title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Date                                Date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2026-07-16T15:39:55.750Z</dcterms:created>
  <dcterms:modified xsi:type="dcterms:W3CDTF">2026-07-16T15:39:55.751Z</dcterms:modified>
</cp:coreProperties>
</file>

<file path=docProps/custom.xml><?xml version="1.0" encoding="utf-8"?>
<Properties xmlns="http://schemas.openxmlformats.org/officeDocument/2006/custom-properties" xmlns:vt="http://schemas.openxmlformats.org/officeDocument/2006/docPropsVTypes"/>
</file>