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spacing w:after="100"/>
      </w:pPr>
      <w:r>
        <w:rPr>
          <w:rFonts w:ascii="Calibri" w:cs="Calibri" w:eastAsia="Calibri" w:hAnsi="Calibri"/>
          <w:b/>
          <w:bCs/>
          <w:sz w:val="32"/>
          <w:szCs w:val="32"/>
        </w:rPr>
        <w:t xml:space="preserve">SCARLET RISK</w:t>
      </w:r>
    </w:p>
    <w:p>
      <w:pPr>
        <w:spacing w:after="150"/>
      </w:pPr>
      <w:r>
        <w:rPr>
          <w:rFonts w:ascii="Calibri" w:cs="Calibri" w:eastAsia="Calibri" w:hAnsi="Calibri"/>
          <w:b/>
          <w:bCs/>
          <w:i w:val="false"/>
          <w:iCs w:val="false"/>
          <w:sz w:val="22"/>
          <w:szCs w:val="22"/>
        </w:rPr>
        <w:t xml:space="preserve">Partner &amp; Referral Program</w:t>
      </w:r>
    </w:p>
    <w:p>
      <w:pPr>
        <w:spacing w:after="300"/>
      </w:pPr>
      <w:r>
        <w:rPr>
          <w:rFonts w:ascii="Calibri" w:cs="Calibri" w:eastAsia="Calibri" w:hAnsi="Calibri"/>
          <w:i/>
          <w:iCs/>
          <w:color w:val="555555"/>
          <w:sz w:val="22"/>
          <w:szCs w:val="22"/>
        </w:rPr>
        <w:t xml:space="preserve">Turn your network into recurring revenue.</w:t>
      </w:r>
    </w:p>
    <w:p>
      <w:pPr>
        <w:spacing w:after="150"/>
      </w:pPr>
      <w:r>
        <w:rPr>
          <w:rFonts w:ascii="Calibri" w:cs="Calibri" w:eastAsia="Calibri" w:hAnsi="Calibri"/>
          <w:b w:val="false"/>
          <w:bCs w:val="false"/>
          <w:i/>
          <w:iCs/>
          <w:sz w:val="22"/>
          <w:szCs w:val="22"/>
        </w:rPr>
        <w:t xml:space="preserve">Effective: July 2026 · Version 2.0 · scarletrisk.com</w:t>
      </w:r>
    </w:p>
    <w:p>
      <w:pPr>
        <w:spacing w:after="150"/>
      </w:pPr>
      <w:r>
        <w:rPr>
          <w:rFonts w:ascii="Calibri" w:cs="Calibri" w:eastAsia="Calibri" w:hAnsi="Calibri"/>
          <w:b w:val="false"/>
          <w:bCs w:val="false"/>
          <w:i/>
          <w:iCs/>
          <w:sz w:val="22"/>
          <w:szCs w:val="22"/>
        </w:rPr>
        <w:t xml:space="preserve">(Supersedes Version 1.0, June 2026 — pricing was significantly out of date; this version reflects July 2026 rates and adds the BDR/Outbound track)</w:t>
      </w:r>
    </w:p>
    <w:p>
      <w:pPr>
        <w:pStyle w:val="Heading1"/>
        <w:spacing w:after="150" w:before="300"/>
      </w:pPr>
      <w:r>
        <w:rPr>
          <w:rFonts w:ascii="Calibri" w:cs="Calibri" w:eastAsia="Calibri" w:hAnsi="Calibri"/>
          <w:b/>
          <w:bCs/>
          <w:sz w:val="26"/>
          <w:szCs w:val="26"/>
        </w:rPr>
        <w:t xml:space="preserve">1. Program Overview</w:t>
      </w:r>
    </w:p>
    <w:p>
      <w:pPr>
        <w:spacing w:after="150"/>
      </w:pPr>
      <w:r>
        <w:rPr>
          <w:rFonts w:ascii="Calibri" w:cs="Calibri" w:eastAsia="Calibri" w:hAnsi="Calibri"/>
          <w:b w:val="false"/>
          <w:bCs w:val="false"/>
          <w:i w:val="false"/>
          <w:iCs w:val="false"/>
          <w:sz w:val="22"/>
          <w:szCs w:val="22"/>
        </w:rPr>
        <w:t xml:space="preserve">Scarlet Risk's Partner and Referral Program rewards individuals, businesses, and organizations who refer customers, actively sell Scarlet Risk to their clients, or source outbound leads on our behalf. There are four tracks depending on your relationship with us and the volume you generate.</w:t>
      </w:r>
    </w:p>
    <w:p>
      <w:pPr>
        <w:spacing w:after="150"/>
      </w:pPr>
      <w:r>
        <w:rPr>
          <w:rFonts w:ascii="Calibri" w:cs="Calibri" w:eastAsia="Calibri" w:hAnsi="Calibri"/>
          <w:b/>
          <w:bCs/>
          <w:i w:val="false"/>
          <w:iCs w:val="false"/>
          <w:sz w:val="22"/>
          <w:szCs w:val="22"/>
        </w:rPr>
        <w:t xml:space="preserve">Four tracks. One goal: grow together.</w:t>
      </w:r>
    </w:p>
    <w:p>
      <w:pPr>
        <w:pStyle w:val="ListParagraph"/>
        <w:numPr>
          <w:ilvl w:val="0"/>
          <w:numId w:val="1"/>
        </w:numPr>
        <w:spacing w:after="80"/>
      </w:pPr>
      <w:r>
        <w:rPr>
          <w:rFonts w:ascii="Calibri" w:cs="Calibri" w:eastAsia="Calibri" w:hAnsi="Calibri"/>
          <w:sz w:val="22"/>
          <w:szCs w:val="22"/>
        </w:rPr>
        <w:t xml:space="preserve">Customer Referral</w:t>
      </w:r>
    </w:p>
    <w:p>
      <w:pPr>
        <w:pStyle w:val="ListParagraph"/>
        <w:numPr>
          <w:ilvl w:val="0"/>
          <w:numId w:val="1"/>
        </w:numPr>
        <w:spacing w:after="80"/>
      </w:pPr>
      <w:r>
        <w:rPr>
          <w:rFonts w:ascii="Calibri" w:cs="Calibri" w:eastAsia="Calibri" w:hAnsi="Calibri"/>
          <w:sz w:val="22"/>
          <w:szCs w:val="22"/>
        </w:rPr>
        <w:t xml:space="preserve">Professional Partner</w:t>
      </w:r>
    </w:p>
    <w:p>
      <w:pPr>
        <w:pStyle w:val="ListParagraph"/>
        <w:numPr>
          <w:ilvl w:val="0"/>
          <w:numId w:val="1"/>
        </w:numPr>
        <w:spacing w:after="80"/>
      </w:pPr>
      <w:r>
        <w:rPr>
          <w:rFonts w:ascii="Calibri" w:cs="Calibri" w:eastAsia="Calibri" w:hAnsi="Calibri"/>
          <w:sz w:val="22"/>
          <w:szCs w:val="22"/>
        </w:rPr>
        <w:t xml:space="preserve">MSP White-Label Partner</w:t>
      </w:r>
    </w:p>
    <w:p>
      <w:pPr>
        <w:pStyle w:val="ListParagraph"/>
        <w:numPr>
          <w:ilvl w:val="0"/>
          <w:numId w:val="1"/>
        </w:numPr>
        <w:spacing w:after="80"/>
      </w:pPr>
      <w:r>
        <w:rPr>
          <w:rFonts w:ascii="Calibri" w:cs="Calibri" w:eastAsia="Calibri" w:hAnsi="Calibri"/>
          <w:sz w:val="22"/>
          <w:szCs w:val="22"/>
        </w:rPr>
        <w:t xml:space="preserve">BDR/Outbound Partner</w:t>
      </w:r>
    </w:p>
    <w:p>
      <w:pPr>
        <w:pStyle w:val="Heading1"/>
        <w:spacing w:after="150" w:before="300"/>
      </w:pPr>
      <w:r>
        <w:rPr>
          <w:rFonts w:ascii="Calibri" w:cs="Calibri" w:eastAsia="Calibri" w:hAnsi="Calibri"/>
          <w:b/>
          <w:bCs/>
          <w:sz w:val="26"/>
          <w:szCs w:val="26"/>
        </w:rPr>
        <w:t xml:space="preserve">2. Track 1 — Customer Referral</w:t>
      </w:r>
    </w:p>
    <w:p>
      <w:pPr>
        <w:spacing w:after="150"/>
      </w:pPr>
      <w:r>
        <w:rPr>
          <w:rFonts w:ascii="Calibri" w:cs="Calibri" w:eastAsia="Calibri" w:hAnsi="Calibri"/>
          <w:b w:val="false"/>
          <w:bCs w:val="false"/>
          <w:i w:val="false"/>
          <w:iCs w:val="false"/>
          <w:sz w:val="22"/>
          <w:szCs w:val="22"/>
        </w:rPr>
        <w:t xml:space="preserve">For existing Scarlet Risk customers who refer other businesses. No formal agreement required.</w:t>
      </w:r>
    </w:p>
    <w:p>
      <w:pPr>
        <w:spacing w:after="150"/>
      </w:pPr>
      <w:r>
        <w:rPr>
          <w:rFonts w:ascii="Calibri" w:cs="Calibri" w:eastAsia="Calibri" w:hAnsi="Calibri"/>
          <w:b/>
          <w:bCs/>
          <w:i w:val="false"/>
          <w:iCs w:val="false"/>
          <w:sz w:val="22"/>
          <w:szCs w:val="22"/>
        </w:rPr>
        <w:t xml:space="preserve">How It Works</w:t>
      </w:r>
    </w:p>
    <w:p>
      <w:pPr>
        <w:pStyle w:val="ListParagraph"/>
        <w:numPr>
          <w:ilvl w:val="0"/>
          <w:numId w:val="1"/>
        </w:numPr>
        <w:spacing w:after="80"/>
      </w:pPr>
      <w:r>
        <w:rPr>
          <w:rFonts w:ascii="Calibri" w:cs="Calibri" w:eastAsia="Calibri" w:hAnsi="Calibri"/>
          <w:sz w:val="22"/>
          <w:szCs w:val="22"/>
        </w:rPr>
        <w:t xml:space="preserve">You refer a business contact to Scarlet Risk</w:t>
      </w:r>
    </w:p>
    <w:p>
      <w:pPr>
        <w:pStyle w:val="ListParagraph"/>
        <w:numPr>
          <w:ilvl w:val="0"/>
          <w:numId w:val="1"/>
        </w:numPr>
        <w:spacing w:after="80"/>
      </w:pPr>
      <w:r>
        <w:rPr>
          <w:rFonts w:ascii="Calibri" w:cs="Calibri" w:eastAsia="Calibri" w:hAnsi="Calibri"/>
          <w:sz w:val="22"/>
          <w:szCs w:val="22"/>
        </w:rPr>
        <w:t xml:space="preserve">They sign up for any paid plan (Go, Pro, Elite, or Team)</w:t>
      </w:r>
    </w:p>
    <w:p>
      <w:pPr>
        <w:pStyle w:val="ListParagraph"/>
        <w:numPr>
          <w:ilvl w:val="0"/>
          <w:numId w:val="1"/>
        </w:numPr>
        <w:spacing w:after="80"/>
      </w:pPr>
      <w:r>
        <w:rPr>
          <w:rFonts w:ascii="Calibri" w:cs="Calibri" w:eastAsia="Calibri" w:hAnsi="Calibri"/>
          <w:sz w:val="22"/>
          <w:szCs w:val="22"/>
        </w:rPr>
        <w:t xml:space="preserve">You receive a reward — no minimum commitment required from them</w:t>
      </w:r>
    </w:p>
    <w:p>
      <w:pPr>
        <w:pStyle w:val="ListParagraph"/>
        <w:numPr>
          <w:ilvl w:val="0"/>
          <w:numId w:val="1"/>
        </w:numPr>
        <w:spacing w:after="80"/>
      </w:pPr>
      <w:r>
        <w:rPr>
          <w:rFonts w:ascii="Calibri" w:cs="Calibri" w:eastAsia="Calibri" w:hAnsi="Calibri"/>
          <w:sz w:val="22"/>
          <w:szCs w:val="22"/>
        </w:rPr>
        <w:t xml:space="preserve">No cap on how many referrals you can make</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Rewards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3200"/>
        <w:gridCol w:w="3200"/>
        <w:gridCol w:w="2600"/>
      </w:tblGrid>
      <w:tr>
        <w:tc>
          <w:tcPr>
            <w:tcW w:type="dxa" w:w="3200"/>
            <w:shd w:fill="C0392B" w:val="clear"/>
          </w:tcPr>
          <w:p>
            <w:r>
              <w:rPr>
                <w:rFonts w:ascii="Calibri" w:cs="Calibri" w:eastAsia="Calibri" w:hAnsi="Calibri"/>
                <w:b/>
                <w:bCs/>
                <w:color w:val="FFFFFF"/>
                <w:sz w:val="20"/>
                <w:szCs w:val="20"/>
              </w:rPr>
              <w:t xml:space="preserve">Plan They Sign Up For</w:t>
            </w:r>
          </w:p>
        </w:tc>
        <w:tc>
          <w:tcPr>
            <w:tcW w:type="dxa" w:w="3200"/>
            <w:shd w:fill="C0392B" w:val="clear"/>
          </w:tcPr>
          <w:p>
            <w:r>
              <w:rPr>
                <w:rFonts w:ascii="Calibri" w:cs="Calibri" w:eastAsia="Calibri" w:hAnsi="Calibri"/>
                <w:b/>
                <w:bCs/>
                <w:color w:val="FFFFFF"/>
                <w:sz w:val="20"/>
                <w:szCs w:val="20"/>
              </w:rPr>
              <w:t xml:space="preserve">Your Reward</w:t>
            </w:r>
          </w:p>
        </w:tc>
        <w:tc>
          <w:tcPr>
            <w:tcW w:type="dxa" w:w="2600"/>
            <w:shd w:fill="C0392B" w:val="clear"/>
          </w:tcPr>
          <w:p>
            <w:r>
              <w:rPr>
                <w:rFonts w:ascii="Calibri" w:cs="Calibri" w:eastAsia="Calibri" w:hAnsi="Calibri"/>
                <w:b/>
                <w:bCs/>
                <w:color w:val="FFFFFF"/>
                <w:sz w:val="20"/>
                <w:szCs w:val="20"/>
              </w:rPr>
              <w:t xml:space="preserve">How Paid</w:t>
            </w:r>
          </w:p>
        </w:tc>
      </w:tr>
      <w:tr>
        <w:tc>
          <w:tcPr>
            <w:tcW w:type="dxa" w:w="3200"/>
          </w:tcPr>
          <w:p>
            <w:r>
              <w:rPr>
                <w:rFonts w:ascii="Calibri" w:cs="Calibri" w:eastAsia="Calibri" w:hAnsi="Calibri"/>
                <w:b w:val="false"/>
                <w:bCs w:val="false"/>
                <w:color w:val="000000"/>
                <w:sz w:val="20"/>
                <w:szCs w:val="20"/>
              </w:rPr>
              <w:t xml:space="preserve">Go ($25/mo)</w:t>
            </w:r>
          </w:p>
        </w:tc>
        <w:tc>
          <w:tcPr>
            <w:tcW w:type="dxa" w:w="3200"/>
          </w:tcPr>
          <w:p>
            <w:r>
              <w:rPr>
                <w:rFonts w:ascii="Calibri" w:cs="Calibri" w:eastAsia="Calibri" w:hAnsi="Calibri"/>
                <w:b w:val="false"/>
                <w:bCs w:val="false"/>
                <w:color w:val="000000"/>
                <w:sz w:val="20"/>
                <w:szCs w:val="20"/>
              </w:rPr>
              <w:t xml:space="preserve">1 month free ($25 value)</w:t>
            </w:r>
          </w:p>
        </w:tc>
        <w:tc>
          <w:tcPr>
            <w:tcW w:type="dxa" w:w="2600"/>
          </w:tcPr>
          <w:p>
            <w:r>
              <w:rPr>
                <w:rFonts w:ascii="Calibri" w:cs="Calibri" w:eastAsia="Calibri" w:hAnsi="Calibri"/>
                <w:b w:val="false"/>
                <w:bCs w:val="false"/>
                <w:color w:val="000000"/>
                <w:sz w:val="20"/>
                <w:szCs w:val="20"/>
              </w:rPr>
              <w:t xml:space="preserve">Applied as credit</w:t>
            </w:r>
          </w:p>
        </w:tc>
      </w:tr>
      <w:tr>
        <w:tc>
          <w:tcPr>
            <w:tcW w:type="dxa" w:w="3200"/>
          </w:tcPr>
          <w:p>
            <w:r>
              <w:rPr>
                <w:rFonts w:ascii="Calibri" w:cs="Calibri" w:eastAsia="Calibri" w:hAnsi="Calibri"/>
                <w:b w:val="false"/>
                <w:bCs w:val="false"/>
                <w:color w:val="000000"/>
                <w:sz w:val="20"/>
                <w:szCs w:val="20"/>
              </w:rPr>
              <w:t xml:space="preserve">Pro ($99/mo)</w:t>
            </w:r>
          </w:p>
        </w:tc>
        <w:tc>
          <w:tcPr>
            <w:tcW w:type="dxa" w:w="3200"/>
          </w:tcPr>
          <w:p>
            <w:r>
              <w:rPr>
                <w:rFonts w:ascii="Calibri" w:cs="Calibri" w:eastAsia="Calibri" w:hAnsi="Calibri"/>
                <w:b w:val="false"/>
                <w:bCs w:val="false"/>
                <w:color w:val="000000"/>
                <w:sz w:val="20"/>
                <w:szCs w:val="20"/>
              </w:rPr>
              <w:t xml:space="preserve">2 months free ($198 value)</w:t>
            </w:r>
          </w:p>
        </w:tc>
        <w:tc>
          <w:tcPr>
            <w:tcW w:type="dxa" w:w="2600"/>
          </w:tcPr>
          <w:p>
            <w:r>
              <w:rPr>
                <w:rFonts w:ascii="Calibri" w:cs="Calibri" w:eastAsia="Calibri" w:hAnsi="Calibri"/>
                <w:b w:val="false"/>
                <w:bCs w:val="false"/>
                <w:color w:val="000000"/>
                <w:sz w:val="20"/>
                <w:szCs w:val="20"/>
              </w:rPr>
              <w:t xml:space="preserve">Applied as credit</w:t>
            </w:r>
          </w:p>
        </w:tc>
      </w:tr>
      <w:tr>
        <w:tc>
          <w:tcPr>
            <w:tcW w:type="dxa" w:w="3200"/>
          </w:tcPr>
          <w:p>
            <w:r>
              <w:rPr>
                <w:rFonts w:ascii="Calibri" w:cs="Calibri" w:eastAsia="Calibri" w:hAnsi="Calibri"/>
                <w:b w:val="false"/>
                <w:bCs w:val="false"/>
                <w:color w:val="000000"/>
                <w:sz w:val="20"/>
                <w:szCs w:val="20"/>
              </w:rPr>
              <w:t xml:space="preserve">Elite ($250/mo)</w:t>
            </w:r>
          </w:p>
        </w:tc>
        <w:tc>
          <w:tcPr>
            <w:tcW w:type="dxa" w:w="3200"/>
          </w:tcPr>
          <w:p>
            <w:r>
              <w:rPr>
                <w:rFonts w:ascii="Calibri" w:cs="Calibri" w:eastAsia="Calibri" w:hAnsi="Calibri"/>
                <w:b w:val="false"/>
                <w:bCs w:val="false"/>
                <w:color w:val="000000"/>
                <w:sz w:val="20"/>
                <w:szCs w:val="20"/>
              </w:rPr>
              <w:t xml:space="preserve">3 months free ($750 value)</w:t>
            </w:r>
          </w:p>
        </w:tc>
        <w:tc>
          <w:tcPr>
            <w:tcW w:type="dxa" w:w="2600"/>
          </w:tcPr>
          <w:p>
            <w:r>
              <w:rPr>
                <w:rFonts w:ascii="Calibri" w:cs="Calibri" w:eastAsia="Calibri" w:hAnsi="Calibri"/>
                <w:b w:val="false"/>
                <w:bCs w:val="false"/>
                <w:color w:val="000000"/>
                <w:sz w:val="20"/>
                <w:szCs w:val="20"/>
              </w:rPr>
              <w:t xml:space="preserve">Applied as credit</w:t>
            </w:r>
          </w:p>
        </w:tc>
      </w:tr>
      <w:tr>
        <w:tc>
          <w:tcPr>
            <w:tcW w:type="dxa" w:w="3200"/>
          </w:tcPr>
          <w:p>
            <w:r>
              <w:rPr>
                <w:rFonts w:ascii="Calibri" w:cs="Calibri" w:eastAsia="Calibri" w:hAnsi="Calibri"/>
                <w:b w:val="false"/>
                <w:bCs w:val="false"/>
                <w:color w:val="000000"/>
                <w:sz w:val="20"/>
                <w:szCs w:val="20"/>
              </w:rPr>
              <w:t xml:space="preserve">Team ($500/mo)</w:t>
            </w:r>
          </w:p>
        </w:tc>
        <w:tc>
          <w:tcPr>
            <w:tcW w:type="dxa" w:w="3200"/>
          </w:tcPr>
          <w:p>
            <w:r>
              <w:rPr>
                <w:rFonts w:ascii="Calibri" w:cs="Calibri" w:eastAsia="Calibri" w:hAnsi="Calibri"/>
                <w:b w:val="false"/>
                <w:bCs w:val="false"/>
                <w:color w:val="000000"/>
                <w:sz w:val="20"/>
                <w:szCs w:val="20"/>
              </w:rPr>
              <w:t xml:space="preserve">4 months free ($2,000 value)</w:t>
            </w:r>
          </w:p>
        </w:tc>
        <w:tc>
          <w:tcPr>
            <w:tcW w:type="dxa" w:w="2600"/>
          </w:tcPr>
          <w:p>
            <w:r>
              <w:rPr>
                <w:rFonts w:ascii="Calibri" w:cs="Calibri" w:eastAsia="Calibri" w:hAnsi="Calibri"/>
                <w:b w:val="false"/>
                <w:bCs w:val="false"/>
                <w:color w:val="000000"/>
                <w:sz w:val="20"/>
                <w:szCs w:val="20"/>
              </w:rPr>
              <w:t xml:space="preserve">Applied as credit</w:t>
            </w:r>
          </w:p>
        </w:tc>
      </w:tr>
    </w:tbl>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How to Refer</w:t>
      </w:r>
    </w:p>
    <w:p>
      <w:pPr>
        <w:pStyle w:val="ListParagraph"/>
        <w:numPr>
          <w:ilvl w:val="0"/>
          <w:numId w:val="1"/>
        </w:numPr>
        <w:spacing w:after="80"/>
      </w:pPr>
      <w:r>
        <w:rPr>
          <w:rFonts w:ascii="Calibri" w:cs="Calibri" w:eastAsia="Calibri" w:hAnsi="Calibri"/>
          <w:sz w:val="22"/>
          <w:szCs w:val="22"/>
        </w:rPr>
        <w:t xml:space="preserve">Email pete@scarletrisk.com with your referral's name, company, and email</w:t>
      </w:r>
    </w:p>
    <w:p>
      <w:pPr>
        <w:pStyle w:val="ListParagraph"/>
        <w:numPr>
          <w:ilvl w:val="0"/>
          <w:numId w:val="1"/>
        </w:numPr>
        <w:spacing w:after="80"/>
      </w:pPr>
      <w:r>
        <w:rPr>
          <w:rFonts w:ascii="Calibri" w:cs="Calibri" w:eastAsia="Calibri" w:hAnsi="Calibri"/>
          <w:sz w:val="22"/>
          <w:szCs w:val="22"/>
        </w:rPr>
        <w:t xml:space="preserve">Or have them sign up at scarletrisk.com and mention your name</w:t>
      </w:r>
    </w:p>
    <w:p>
      <w:pPr>
        <w:pStyle w:val="ListParagraph"/>
        <w:numPr>
          <w:ilvl w:val="0"/>
          <w:numId w:val="1"/>
        </w:numPr>
        <w:spacing w:after="80"/>
      </w:pPr>
      <w:r>
        <w:rPr>
          <w:rFonts w:ascii="Calibri" w:cs="Calibri" w:eastAsia="Calibri" w:hAnsi="Calibri"/>
          <w:sz w:val="22"/>
          <w:szCs w:val="22"/>
        </w:rPr>
        <w:t xml:space="preserve">Reward applied within 5 business days of their first payment</w:t>
      </w:r>
    </w:p>
    <w:p>
      <w:pPr>
        <w:pStyle w:val="Heading1"/>
        <w:spacing w:after="150" w:before="300"/>
      </w:pPr>
      <w:r>
        <w:rPr>
          <w:rFonts w:ascii="Calibri" w:cs="Calibri" w:eastAsia="Calibri" w:hAnsi="Calibri"/>
          <w:b/>
          <w:bCs/>
          <w:sz w:val="26"/>
          <w:szCs w:val="26"/>
        </w:rPr>
        <w:t xml:space="preserve">3. Track 2 — Professional Partner</w:t>
      </w:r>
    </w:p>
    <w:p>
      <w:pPr>
        <w:spacing w:after="150"/>
      </w:pPr>
      <w:r>
        <w:rPr>
          <w:rFonts w:ascii="Calibri" w:cs="Calibri" w:eastAsia="Calibri" w:hAnsi="Calibri"/>
          <w:b w:val="false"/>
          <w:bCs w:val="false"/>
          <w:i w:val="false"/>
          <w:iCs w:val="false"/>
          <w:sz w:val="22"/>
          <w:szCs w:val="22"/>
        </w:rPr>
        <w:t xml:space="preserve">For accountants, attorneys, IT consultants, insurance brokers, and business advisors who refer clients to Scarlet Risk on an ongoing basis. Requires a signed Partner Agreement.</w:t>
      </w:r>
    </w:p>
    <w:p>
      <w:pPr>
        <w:spacing w:after="150"/>
      </w:pPr>
      <w:r>
        <w:rPr>
          <w:rFonts w:ascii="Calibri" w:cs="Calibri" w:eastAsia="Calibri" w:hAnsi="Calibri"/>
          <w:b/>
          <w:bCs/>
          <w:i w:val="false"/>
          <w:iCs w:val="false"/>
          <w:sz w:val="22"/>
          <w:szCs w:val="22"/>
        </w:rPr>
        <w:t xml:space="preserve">Who Qualifies</w:t>
      </w:r>
    </w:p>
    <w:p>
      <w:pPr>
        <w:pStyle w:val="ListParagraph"/>
        <w:numPr>
          <w:ilvl w:val="0"/>
          <w:numId w:val="1"/>
        </w:numPr>
        <w:spacing w:after="80"/>
      </w:pPr>
      <w:r>
        <w:rPr>
          <w:rFonts w:ascii="Calibri" w:cs="Calibri" w:eastAsia="Calibri" w:hAnsi="Calibri"/>
          <w:sz w:val="22"/>
          <w:szCs w:val="22"/>
        </w:rPr>
        <w:t xml:space="preserve">CPA firms and accounting practices</w:t>
      </w:r>
    </w:p>
    <w:p>
      <w:pPr>
        <w:pStyle w:val="ListParagraph"/>
        <w:numPr>
          <w:ilvl w:val="0"/>
          <w:numId w:val="1"/>
        </w:numPr>
        <w:spacing w:after="80"/>
      </w:pPr>
      <w:r>
        <w:rPr>
          <w:rFonts w:ascii="Calibri" w:cs="Calibri" w:eastAsia="Calibri" w:hAnsi="Calibri"/>
          <w:sz w:val="22"/>
          <w:szCs w:val="22"/>
        </w:rPr>
        <w:t xml:space="preserve">Small business attorneys and law firms</w:t>
      </w:r>
    </w:p>
    <w:p>
      <w:pPr>
        <w:pStyle w:val="ListParagraph"/>
        <w:numPr>
          <w:ilvl w:val="0"/>
          <w:numId w:val="1"/>
        </w:numPr>
        <w:spacing w:after="80"/>
      </w:pPr>
      <w:r>
        <w:rPr>
          <w:rFonts w:ascii="Calibri" w:cs="Calibri" w:eastAsia="Calibri" w:hAnsi="Calibri"/>
          <w:sz w:val="22"/>
          <w:szCs w:val="22"/>
        </w:rPr>
        <w:t xml:space="preserve">Cyber insurance brokers</w:t>
      </w:r>
    </w:p>
    <w:p>
      <w:pPr>
        <w:pStyle w:val="ListParagraph"/>
        <w:numPr>
          <w:ilvl w:val="0"/>
          <w:numId w:val="1"/>
        </w:numPr>
        <w:spacing w:after="80"/>
      </w:pPr>
      <w:r>
        <w:rPr>
          <w:rFonts w:ascii="Calibri" w:cs="Calibri" w:eastAsia="Calibri" w:hAnsi="Calibri"/>
          <w:sz w:val="22"/>
          <w:szCs w:val="22"/>
        </w:rPr>
        <w:t xml:space="preserve">IT consultants and technology advisors</w:t>
      </w:r>
    </w:p>
    <w:p>
      <w:pPr>
        <w:pStyle w:val="ListParagraph"/>
        <w:numPr>
          <w:ilvl w:val="0"/>
          <w:numId w:val="1"/>
        </w:numPr>
        <w:spacing w:after="80"/>
      </w:pPr>
      <w:r>
        <w:rPr>
          <w:rFonts w:ascii="Calibri" w:cs="Calibri" w:eastAsia="Calibri" w:hAnsi="Calibri"/>
          <w:sz w:val="22"/>
          <w:szCs w:val="22"/>
        </w:rPr>
        <w:t xml:space="preserve">Business coaches and fractional executives</w:t>
      </w:r>
    </w:p>
    <w:p>
      <w:pPr>
        <w:pStyle w:val="ListParagraph"/>
        <w:numPr>
          <w:ilvl w:val="0"/>
          <w:numId w:val="1"/>
        </w:numPr>
        <w:spacing w:after="80"/>
      </w:pPr>
      <w:r>
        <w:rPr>
          <w:rFonts w:ascii="Calibri" w:cs="Calibri" w:eastAsia="Calibri" w:hAnsi="Calibri"/>
          <w:sz w:val="22"/>
          <w:szCs w:val="22"/>
        </w:rPr>
        <w:t xml:space="preserve">Chamber of Commerce members and SBDC advisors</w:t>
      </w:r>
    </w:p>
    <w:p>
      <w:pPr>
        <w:pStyle w:val="ListParagraph"/>
        <w:numPr>
          <w:ilvl w:val="0"/>
          <w:numId w:val="1"/>
        </w:numPr>
        <w:spacing w:after="80"/>
      </w:pPr>
      <w:r>
        <w:rPr>
          <w:rFonts w:ascii="Calibri" w:cs="Calibri" w:eastAsia="Calibri" w:hAnsi="Calibri"/>
          <w:sz w:val="22"/>
          <w:szCs w:val="22"/>
        </w:rPr>
        <w:t xml:space="preserve">Any professional with ongoing SMB client relationships</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Rewards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2400"/>
        <w:gridCol w:w="2400"/>
        <w:gridCol w:w="2600"/>
        <w:gridCol w:w="1600"/>
      </w:tblGrid>
      <w:tr>
        <w:tc>
          <w:tcPr>
            <w:tcW w:type="dxa" w:w="2400"/>
            <w:shd w:fill="C0392B" w:val="clear"/>
          </w:tcPr>
          <w:p>
            <w:r>
              <w:rPr>
                <w:rFonts w:ascii="Calibri" w:cs="Calibri" w:eastAsia="Calibri" w:hAnsi="Calibri"/>
                <w:b/>
                <w:bCs/>
                <w:color w:val="FFFFFF"/>
                <w:sz w:val="20"/>
                <w:szCs w:val="20"/>
              </w:rPr>
              <w:t xml:space="preserve">Tier</w:t>
            </w:r>
          </w:p>
        </w:tc>
        <w:tc>
          <w:tcPr>
            <w:tcW w:type="dxa" w:w="2400"/>
            <w:shd w:fill="C0392B" w:val="clear"/>
          </w:tcPr>
          <w:p>
            <w:r>
              <w:rPr>
                <w:rFonts w:ascii="Calibri" w:cs="Calibri" w:eastAsia="Calibri" w:hAnsi="Calibri"/>
                <w:b/>
                <w:bCs/>
                <w:color w:val="FFFFFF"/>
                <w:sz w:val="20"/>
                <w:szCs w:val="20"/>
              </w:rPr>
              <w:t xml:space="preserve">Who Qualifies</w:t>
            </w:r>
          </w:p>
        </w:tc>
        <w:tc>
          <w:tcPr>
            <w:tcW w:type="dxa" w:w="2600"/>
            <w:shd w:fill="C0392B" w:val="clear"/>
          </w:tcPr>
          <w:p>
            <w:r>
              <w:rPr>
                <w:rFonts w:ascii="Calibri" w:cs="Calibri" w:eastAsia="Calibri" w:hAnsi="Calibri"/>
                <w:b/>
                <w:bCs/>
                <w:color w:val="FFFFFF"/>
                <w:sz w:val="20"/>
                <w:szCs w:val="20"/>
              </w:rPr>
              <w:t xml:space="preserve">Reward</w:t>
            </w:r>
          </w:p>
        </w:tc>
        <w:tc>
          <w:tcPr>
            <w:tcW w:type="dxa" w:w="1600"/>
            <w:shd w:fill="C0392B" w:val="clear"/>
          </w:tcPr>
          <w:p>
            <w:r>
              <w:rPr>
                <w:rFonts w:ascii="Calibri" w:cs="Calibri" w:eastAsia="Calibri" w:hAnsi="Calibri"/>
                <w:b/>
                <w:bCs/>
                <w:color w:val="FFFFFF"/>
                <w:sz w:val="20"/>
                <w:szCs w:val="20"/>
              </w:rPr>
              <w:t xml:space="preserve">Payment</w:t>
            </w:r>
          </w:p>
        </w:tc>
      </w:tr>
      <w:tr>
        <w:tc>
          <w:tcPr>
            <w:tcW w:type="dxa" w:w="2400"/>
          </w:tcPr>
          <w:p>
            <w:r>
              <w:rPr>
                <w:rFonts w:ascii="Calibri" w:cs="Calibri" w:eastAsia="Calibri" w:hAnsi="Calibri"/>
                <w:b w:val="false"/>
                <w:bCs w:val="false"/>
                <w:color w:val="000000"/>
                <w:sz w:val="20"/>
                <w:szCs w:val="20"/>
              </w:rPr>
              <w:t xml:space="preserve">Professional Partner</w:t>
            </w:r>
          </w:p>
        </w:tc>
        <w:tc>
          <w:tcPr>
            <w:tcW w:type="dxa" w:w="2400"/>
          </w:tcPr>
          <w:p>
            <w:r>
              <w:rPr>
                <w:rFonts w:ascii="Calibri" w:cs="Calibri" w:eastAsia="Calibri" w:hAnsi="Calibri"/>
                <w:b w:val="false"/>
                <w:bCs w:val="false"/>
                <w:color w:val="000000"/>
                <w:sz w:val="20"/>
                <w:szCs w:val="20"/>
              </w:rPr>
              <w:t xml:space="preserve">1+ referrals per quarter</w:t>
            </w:r>
          </w:p>
        </w:tc>
        <w:tc>
          <w:tcPr>
            <w:tcW w:type="dxa" w:w="2600"/>
          </w:tcPr>
          <w:p>
            <w:r>
              <w:rPr>
                <w:rFonts w:ascii="Calibri" w:cs="Calibri" w:eastAsia="Calibri" w:hAnsi="Calibri"/>
                <w:b w:val="false"/>
                <w:bCs w:val="false"/>
                <w:color w:val="000000"/>
                <w:sz w:val="20"/>
                <w:szCs w:val="20"/>
              </w:rPr>
              <w:t xml:space="preserve">20% of first year ARR per customer</w:t>
            </w:r>
          </w:p>
        </w:tc>
        <w:tc>
          <w:tcPr>
            <w:tcW w:type="dxa" w:w="1600"/>
          </w:tcPr>
          <w:p>
            <w:r>
              <w:rPr>
                <w:rFonts w:ascii="Calibri" w:cs="Calibri" w:eastAsia="Calibri" w:hAnsi="Calibri"/>
                <w:b w:val="false"/>
                <w:bCs w:val="false"/>
                <w:color w:val="000000"/>
                <w:sz w:val="20"/>
                <w:szCs w:val="20"/>
              </w:rPr>
              <w:t xml:space="preserve">Net-30 after customer pays</w:t>
            </w:r>
          </w:p>
        </w:tc>
      </w:tr>
      <w:tr>
        <w:tc>
          <w:tcPr>
            <w:tcW w:type="dxa" w:w="2400"/>
          </w:tcPr>
          <w:p>
            <w:r>
              <w:rPr>
                <w:rFonts w:ascii="Calibri" w:cs="Calibri" w:eastAsia="Calibri" w:hAnsi="Calibri"/>
                <w:b w:val="false"/>
                <w:bCs w:val="false"/>
                <w:color w:val="000000"/>
                <w:sz w:val="20"/>
                <w:szCs w:val="20"/>
              </w:rPr>
              <w:t xml:space="preserve">Silver Partner</w:t>
            </w:r>
          </w:p>
        </w:tc>
        <w:tc>
          <w:tcPr>
            <w:tcW w:type="dxa" w:w="2400"/>
          </w:tcPr>
          <w:p>
            <w:r>
              <w:rPr>
                <w:rFonts w:ascii="Calibri" w:cs="Calibri" w:eastAsia="Calibri" w:hAnsi="Calibri"/>
                <w:b w:val="false"/>
                <w:bCs w:val="false"/>
                <w:color w:val="000000"/>
                <w:sz w:val="20"/>
                <w:szCs w:val="20"/>
              </w:rPr>
              <w:t xml:space="preserve">5+ referrals per quarter</w:t>
            </w:r>
          </w:p>
        </w:tc>
        <w:tc>
          <w:tcPr>
            <w:tcW w:type="dxa" w:w="2600"/>
          </w:tcPr>
          <w:p>
            <w:r>
              <w:rPr>
                <w:rFonts w:ascii="Calibri" w:cs="Calibri" w:eastAsia="Calibri" w:hAnsi="Calibri"/>
                <w:b w:val="false"/>
                <w:bCs w:val="false"/>
                <w:color w:val="000000"/>
                <w:sz w:val="20"/>
                <w:szCs w:val="20"/>
              </w:rPr>
              <w:t xml:space="preserve">25% of first year ARR per customer</w:t>
            </w:r>
          </w:p>
        </w:tc>
        <w:tc>
          <w:tcPr>
            <w:tcW w:type="dxa" w:w="1600"/>
          </w:tcPr>
          <w:p>
            <w:r>
              <w:rPr>
                <w:rFonts w:ascii="Calibri" w:cs="Calibri" w:eastAsia="Calibri" w:hAnsi="Calibri"/>
                <w:b w:val="false"/>
                <w:bCs w:val="false"/>
                <w:color w:val="000000"/>
                <w:sz w:val="20"/>
                <w:szCs w:val="20"/>
              </w:rPr>
              <w:t xml:space="preserve">Net-30 after customer pays</w:t>
            </w:r>
          </w:p>
        </w:tc>
      </w:tr>
      <w:tr>
        <w:tc>
          <w:tcPr>
            <w:tcW w:type="dxa" w:w="2400"/>
          </w:tcPr>
          <w:p>
            <w:r>
              <w:rPr>
                <w:rFonts w:ascii="Calibri" w:cs="Calibri" w:eastAsia="Calibri" w:hAnsi="Calibri"/>
                <w:b w:val="false"/>
                <w:bCs w:val="false"/>
                <w:color w:val="000000"/>
                <w:sz w:val="20"/>
                <w:szCs w:val="20"/>
              </w:rPr>
              <w:t xml:space="preserve">Gold Partner</w:t>
            </w:r>
          </w:p>
        </w:tc>
        <w:tc>
          <w:tcPr>
            <w:tcW w:type="dxa" w:w="2400"/>
          </w:tcPr>
          <w:p>
            <w:r>
              <w:rPr>
                <w:rFonts w:ascii="Calibri" w:cs="Calibri" w:eastAsia="Calibri" w:hAnsi="Calibri"/>
                <w:b w:val="false"/>
                <w:bCs w:val="false"/>
                <w:color w:val="000000"/>
                <w:sz w:val="20"/>
                <w:szCs w:val="20"/>
              </w:rPr>
              <w:t xml:space="preserve">10+ referrals per quarter</w:t>
            </w:r>
          </w:p>
        </w:tc>
        <w:tc>
          <w:tcPr>
            <w:tcW w:type="dxa" w:w="2600"/>
          </w:tcPr>
          <w:p>
            <w:r>
              <w:rPr>
                <w:rFonts w:ascii="Calibri" w:cs="Calibri" w:eastAsia="Calibri" w:hAnsi="Calibri"/>
                <w:b w:val="false"/>
                <w:bCs w:val="false"/>
                <w:color w:val="000000"/>
                <w:sz w:val="20"/>
                <w:szCs w:val="20"/>
              </w:rPr>
              <w:t xml:space="preserve">30% of first year ARR + 10% year 2</w:t>
            </w:r>
          </w:p>
        </w:tc>
        <w:tc>
          <w:tcPr>
            <w:tcW w:type="dxa" w:w="1600"/>
          </w:tcPr>
          <w:p>
            <w:r>
              <w:rPr>
                <w:rFonts w:ascii="Calibri" w:cs="Calibri" w:eastAsia="Calibri" w:hAnsi="Calibri"/>
                <w:b w:val="false"/>
                <w:bCs w:val="false"/>
                <w:color w:val="000000"/>
                <w:sz w:val="20"/>
                <w:szCs w:val="20"/>
              </w:rPr>
              <w:t xml:space="preserve">Net-15 after customer pays</w:t>
            </w:r>
          </w:p>
        </w:tc>
      </w:tr>
    </w:tbl>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Example: You refer a dental practice that signs up for Pro ($99/mo = $1,188/yr). At 20% you earn $237.60 for that one referral. Refer 10 practices in a quarter and you're earning $2,376 from a single quarter of referrals.</w:t>
      </w:r>
    </w:p>
    <w:p>
      <w:pPr>
        <w:spacing w:after="150"/>
      </w:pPr>
      <w:r>
        <w:rPr>
          <w:rFonts w:ascii="Calibri" w:cs="Calibri" w:eastAsia="Calibri" w:hAnsi="Calibri"/>
          <w:b w:val="false"/>
          <w:bCs w:val="false"/>
          <w:i/>
          <w:iCs/>
          <w:sz w:val="22"/>
          <w:szCs w:val="22"/>
        </w:rPr>
        <w:t xml:space="preserve">(Previously, at old $49/mo Pro pricing, that same math earned $117.60 per referral / $1,176 per quarter — this track now pays roughly double per referral at the same commission rate, purely from the pricing update.)</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Requirements</w:t>
      </w:r>
    </w:p>
    <w:p>
      <w:pPr>
        <w:pStyle w:val="ListParagraph"/>
        <w:numPr>
          <w:ilvl w:val="0"/>
          <w:numId w:val="1"/>
        </w:numPr>
        <w:spacing w:after="80"/>
      </w:pPr>
      <w:r>
        <w:rPr>
          <w:rFonts w:ascii="Calibri" w:cs="Calibri" w:eastAsia="Calibri" w:hAnsi="Calibri"/>
          <w:sz w:val="22"/>
          <w:szCs w:val="22"/>
        </w:rPr>
        <w:t xml:space="preserve">Signed Scarlet Risk Partner Agreement (provided by Pete)</w:t>
      </w:r>
    </w:p>
    <w:p>
      <w:pPr>
        <w:pStyle w:val="ListParagraph"/>
        <w:numPr>
          <w:ilvl w:val="0"/>
          <w:numId w:val="1"/>
        </w:numPr>
        <w:spacing w:after="80"/>
      </w:pPr>
      <w:r>
        <w:rPr>
          <w:rFonts w:ascii="Calibri" w:cs="Calibri" w:eastAsia="Calibri" w:hAnsi="Calibri"/>
          <w:sz w:val="22"/>
          <w:szCs w:val="22"/>
        </w:rPr>
        <w:t xml:space="preserve">W-9 form on file for payments over $600 annually (1099 issued)</w:t>
      </w:r>
    </w:p>
    <w:p>
      <w:pPr>
        <w:pStyle w:val="ListParagraph"/>
        <w:numPr>
          <w:ilvl w:val="0"/>
          <w:numId w:val="1"/>
        </w:numPr>
        <w:spacing w:after="80"/>
      </w:pPr>
      <w:r>
        <w:rPr>
          <w:rFonts w:ascii="Calibri" w:cs="Calibri" w:eastAsia="Calibri" w:hAnsi="Calibri"/>
          <w:sz w:val="22"/>
          <w:szCs w:val="22"/>
        </w:rPr>
        <w:t xml:space="preserve">Referrals must be net-new customers not already in our system</w:t>
      </w:r>
    </w:p>
    <w:p>
      <w:pPr>
        <w:pStyle w:val="ListParagraph"/>
        <w:numPr>
          <w:ilvl w:val="0"/>
          <w:numId w:val="1"/>
        </w:numPr>
        <w:spacing w:after="80"/>
      </w:pPr>
      <w:r>
        <w:rPr>
          <w:rFonts w:ascii="Calibri" w:cs="Calibri" w:eastAsia="Calibri" w:hAnsi="Calibri"/>
          <w:sz w:val="22"/>
          <w:szCs w:val="22"/>
        </w:rPr>
        <w:t xml:space="preserve">Customer must remain active for 60 days for reward to vest</w:t>
      </w:r>
    </w:p>
    <w:p>
      <w:pPr>
        <w:pStyle w:val="Heading1"/>
        <w:spacing w:after="150" w:before="300"/>
      </w:pPr>
      <w:r>
        <w:rPr>
          <w:rFonts w:ascii="Calibri" w:cs="Calibri" w:eastAsia="Calibri" w:hAnsi="Calibri"/>
          <w:b/>
          <w:bCs/>
          <w:sz w:val="26"/>
          <w:szCs w:val="26"/>
        </w:rPr>
        <w:t xml:space="preserve">4. Track 3 — MSP White-Label Partner</w:t>
      </w:r>
    </w:p>
    <w:p>
      <w:pPr>
        <w:spacing w:after="150"/>
      </w:pPr>
      <w:r>
        <w:rPr>
          <w:rFonts w:ascii="Calibri" w:cs="Calibri" w:eastAsia="Calibri" w:hAnsi="Calibri"/>
          <w:b w:val="false"/>
          <w:bCs w:val="false"/>
          <w:i w:val="false"/>
          <w:iCs w:val="false"/>
          <w:sz w:val="22"/>
          <w:szCs w:val="22"/>
        </w:rPr>
        <w:t xml:space="preserve">For Managed Service Providers who want to offer Scarlet Risk compliance tools to their SMB client base under their own brand. The highest-value track — one MSP partner can represent $5,000-50,000+ in ARR.</w:t>
      </w:r>
    </w:p>
    <w:p>
      <w:pPr>
        <w:spacing w:after="150"/>
      </w:pPr>
      <w:r>
        <w:rPr>
          <w:rFonts w:ascii="Calibri" w:cs="Calibri" w:eastAsia="Calibri" w:hAnsi="Calibri"/>
          <w:b/>
          <w:bCs/>
          <w:i w:val="false"/>
          <w:iCs w:val="false"/>
          <w:sz w:val="22"/>
          <w:szCs w:val="22"/>
        </w:rPr>
        <w:t xml:space="preserve">What You Get</w:t>
      </w:r>
    </w:p>
    <w:p>
      <w:pPr>
        <w:pStyle w:val="ListParagraph"/>
        <w:numPr>
          <w:ilvl w:val="0"/>
          <w:numId w:val="1"/>
        </w:numPr>
        <w:spacing w:after="80"/>
      </w:pPr>
      <w:r>
        <w:rPr>
          <w:rFonts w:ascii="Calibri" w:cs="Calibri" w:eastAsia="Calibri" w:hAnsi="Calibri"/>
          <w:sz w:val="22"/>
          <w:szCs w:val="22"/>
        </w:rPr>
        <w:t xml:space="preserve">White-labeled Scarlet Intelligence platform under your MSP brand</w:t>
      </w:r>
    </w:p>
    <w:p>
      <w:pPr>
        <w:pStyle w:val="ListParagraph"/>
        <w:numPr>
          <w:ilvl w:val="0"/>
          <w:numId w:val="1"/>
        </w:numPr>
        <w:spacing w:after="80"/>
      </w:pPr>
      <w:r>
        <w:rPr>
          <w:rFonts w:ascii="Calibri" w:cs="Calibri" w:eastAsia="Calibri" w:hAnsi="Calibri"/>
          <w:sz w:val="22"/>
          <w:szCs w:val="22"/>
        </w:rPr>
        <w:t xml:space="preserve">Custom subdomain: compliance.yourcompany.com</w:t>
      </w:r>
    </w:p>
    <w:p>
      <w:pPr>
        <w:pStyle w:val="ListParagraph"/>
        <w:numPr>
          <w:ilvl w:val="0"/>
          <w:numId w:val="1"/>
        </w:numPr>
        <w:spacing w:after="80"/>
      </w:pPr>
      <w:r>
        <w:rPr>
          <w:rFonts w:ascii="Calibri" w:cs="Calibri" w:eastAsia="Calibri" w:hAnsi="Calibri"/>
          <w:sz w:val="22"/>
          <w:szCs w:val="22"/>
        </w:rPr>
        <w:t xml:space="preserve">Your logo and colors throughout the platform</w:t>
      </w:r>
    </w:p>
    <w:p>
      <w:pPr>
        <w:pStyle w:val="ListParagraph"/>
        <w:numPr>
          <w:ilvl w:val="0"/>
          <w:numId w:val="1"/>
        </w:numPr>
        <w:spacing w:after="80"/>
      </w:pPr>
      <w:r>
        <w:rPr>
          <w:rFonts w:ascii="Calibri" w:cs="Calibri" w:eastAsia="Calibri" w:hAnsi="Calibri"/>
          <w:sz w:val="22"/>
          <w:szCs w:val="22"/>
        </w:rPr>
        <w:t xml:space="preserve">You set your own pricing to clients — keep 100% of markup</w:t>
      </w:r>
    </w:p>
    <w:p>
      <w:pPr>
        <w:pStyle w:val="ListParagraph"/>
        <w:numPr>
          <w:ilvl w:val="0"/>
          <w:numId w:val="1"/>
        </w:numPr>
        <w:spacing w:after="80"/>
      </w:pPr>
      <w:r>
        <w:rPr>
          <w:rFonts w:ascii="Calibri" w:cs="Calibri" w:eastAsia="Calibri" w:hAnsi="Calibri"/>
          <w:sz w:val="22"/>
          <w:szCs w:val="22"/>
        </w:rPr>
        <w:t xml:space="preserve">Scarlet Risk wholesale pricing based on seat volume</w:t>
      </w:r>
    </w:p>
    <w:p>
      <w:pPr>
        <w:pStyle w:val="ListParagraph"/>
        <w:numPr>
          <w:ilvl w:val="0"/>
          <w:numId w:val="1"/>
        </w:numPr>
        <w:spacing w:after="80"/>
      </w:pPr>
      <w:r>
        <w:rPr>
          <w:rFonts w:ascii="Calibri" w:cs="Calibri" w:eastAsia="Calibri" w:hAnsi="Calibri"/>
          <w:sz w:val="22"/>
          <w:szCs w:val="22"/>
        </w:rPr>
        <w:t xml:space="preserve">Dedicated partner onboarding and support from Pete directly</w:t>
      </w:r>
    </w:p>
    <w:p>
      <w:pPr>
        <w:pStyle w:val="ListParagraph"/>
        <w:numPr>
          <w:ilvl w:val="0"/>
          <w:numId w:val="1"/>
        </w:numPr>
        <w:spacing w:after="80"/>
      </w:pPr>
      <w:r>
        <w:rPr>
          <w:rFonts w:ascii="Calibri" w:cs="Calibri" w:eastAsia="Calibri" w:hAnsi="Calibri"/>
          <w:sz w:val="22"/>
          <w:szCs w:val="22"/>
        </w:rPr>
        <w:t xml:space="preserve">Co-marketing materials and case studies</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Wholesale Pricing (MSP Only) — unchanged, independent of retail tier pricing</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2400"/>
        <w:gridCol w:w="2400"/>
        <w:gridCol w:w="2400"/>
        <w:gridCol w:w="1800"/>
      </w:tblGrid>
      <w:tr>
        <w:tc>
          <w:tcPr>
            <w:tcW w:type="dxa" w:w="2400"/>
            <w:shd w:fill="C0392B" w:val="clear"/>
          </w:tcPr>
          <w:p>
            <w:r>
              <w:rPr>
                <w:rFonts w:ascii="Calibri" w:cs="Calibri" w:eastAsia="Calibri" w:hAnsi="Calibri"/>
                <w:b/>
                <w:bCs/>
                <w:color w:val="FFFFFF"/>
                <w:sz w:val="20"/>
                <w:szCs w:val="20"/>
              </w:rPr>
              <w:t xml:space="preserve">Client Volume</w:t>
            </w:r>
          </w:p>
        </w:tc>
        <w:tc>
          <w:tcPr>
            <w:tcW w:type="dxa" w:w="2400"/>
            <w:shd w:fill="C0392B" w:val="clear"/>
          </w:tcPr>
          <w:p>
            <w:r>
              <w:rPr>
                <w:rFonts w:ascii="Calibri" w:cs="Calibri" w:eastAsia="Calibri" w:hAnsi="Calibri"/>
                <w:b/>
                <w:bCs/>
                <w:color w:val="FFFFFF"/>
                <w:sz w:val="20"/>
                <w:szCs w:val="20"/>
              </w:rPr>
              <w:t xml:space="preserve">Wholesale Per Seat/Mo</w:t>
            </w:r>
          </w:p>
        </w:tc>
        <w:tc>
          <w:tcPr>
            <w:tcW w:type="dxa" w:w="2400"/>
            <w:shd w:fill="C0392B" w:val="clear"/>
          </w:tcPr>
          <w:p>
            <w:r>
              <w:rPr>
                <w:rFonts w:ascii="Calibri" w:cs="Calibri" w:eastAsia="Calibri" w:hAnsi="Calibri"/>
                <w:b/>
                <w:bCs/>
                <w:color w:val="FFFFFF"/>
                <w:sz w:val="20"/>
                <w:szCs w:val="20"/>
              </w:rPr>
              <w:t xml:space="preserve">Suggested Retail</w:t>
            </w:r>
          </w:p>
        </w:tc>
        <w:tc>
          <w:tcPr>
            <w:tcW w:type="dxa" w:w="1800"/>
            <w:shd w:fill="C0392B" w:val="clear"/>
          </w:tcPr>
          <w:p>
            <w:r>
              <w:rPr>
                <w:rFonts w:ascii="Calibri" w:cs="Calibri" w:eastAsia="Calibri" w:hAnsi="Calibri"/>
                <w:b/>
                <w:bCs/>
                <w:color w:val="FFFFFF"/>
                <w:sz w:val="20"/>
                <w:szCs w:val="20"/>
              </w:rPr>
              <w:t xml:space="preserve">Your Margin</w:t>
            </w:r>
          </w:p>
        </w:tc>
      </w:tr>
      <w:tr>
        <w:tc>
          <w:tcPr>
            <w:tcW w:type="dxa" w:w="2400"/>
          </w:tcPr>
          <w:p>
            <w:r>
              <w:rPr>
                <w:rFonts w:ascii="Calibri" w:cs="Calibri" w:eastAsia="Calibri" w:hAnsi="Calibri"/>
                <w:b w:val="false"/>
                <w:bCs w:val="false"/>
                <w:color w:val="000000"/>
                <w:sz w:val="20"/>
                <w:szCs w:val="20"/>
              </w:rPr>
              <w:t xml:space="preserve">1-10 clients</w:t>
            </w:r>
          </w:p>
        </w:tc>
        <w:tc>
          <w:tcPr>
            <w:tcW w:type="dxa" w:w="2400"/>
          </w:tcPr>
          <w:p>
            <w:r>
              <w:rPr>
                <w:rFonts w:ascii="Calibri" w:cs="Calibri" w:eastAsia="Calibri" w:hAnsi="Calibri"/>
                <w:b w:val="false"/>
                <w:bCs w:val="false"/>
                <w:color w:val="000000"/>
                <w:sz w:val="20"/>
                <w:szCs w:val="20"/>
              </w:rPr>
              <w:t xml:space="preserve">$7/mo per client</w:t>
            </w:r>
          </w:p>
        </w:tc>
        <w:tc>
          <w:tcPr>
            <w:tcW w:type="dxa" w:w="2400"/>
          </w:tcPr>
          <w:p>
            <w:r>
              <w:rPr>
                <w:rFonts w:ascii="Calibri" w:cs="Calibri" w:eastAsia="Calibri" w:hAnsi="Calibri"/>
                <w:b w:val="false"/>
                <w:bCs w:val="false"/>
                <w:color w:val="000000"/>
                <w:sz w:val="20"/>
                <w:szCs w:val="20"/>
              </w:rPr>
              <w:t xml:space="preserve">$16-29/mo</w:t>
            </w:r>
          </w:p>
        </w:tc>
        <w:tc>
          <w:tcPr>
            <w:tcW w:type="dxa" w:w="1800"/>
          </w:tcPr>
          <w:p>
            <w:r>
              <w:rPr>
                <w:rFonts w:ascii="Calibri" w:cs="Calibri" w:eastAsia="Calibri" w:hAnsi="Calibri"/>
                <w:b w:val="false"/>
                <w:bCs w:val="false"/>
                <w:color w:val="000000"/>
                <w:sz w:val="20"/>
                <w:szCs w:val="20"/>
              </w:rPr>
              <w:t xml:space="preserve">2.3-4x markup</w:t>
            </w:r>
          </w:p>
        </w:tc>
      </w:tr>
      <w:tr>
        <w:tc>
          <w:tcPr>
            <w:tcW w:type="dxa" w:w="2400"/>
          </w:tcPr>
          <w:p>
            <w:r>
              <w:rPr>
                <w:rFonts w:ascii="Calibri" w:cs="Calibri" w:eastAsia="Calibri" w:hAnsi="Calibri"/>
                <w:b w:val="false"/>
                <w:bCs w:val="false"/>
                <w:color w:val="000000"/>
                <w:sz w:val="20"/>
                <w:szCs w:val="20"/>
              </w:rPr>
              <w:t xml:space="preserve">11-50 clients</w:t>
            </w:r>
          </w:p>
        </w:tc>
        <w:tc>
          <w:tcPr>
            <w:tcW w:type="dxa" w:w="2400"/>
          </w:tcPr>
          <w:p>
            <w:r>
              <w:rPr>
                <w:rFonts w:ascii="Calibri" w:cs="Calibri" w:eastAsia="Calibri" w:hAnsi="Calibri"/>
                <w:b w:val="false"/>
                <w:bCs w:val="false"/>
                <w:color w:val="000000"/>
                <w:sz w:val="20"/>
                <w:szCs w:val="20"/>
              </w:rPr>
              <w:t xml:space="preserve">$5/mo per client</w:t>
            </w:r>
          </w:p>
        </w:tc>
        <w:tc>
          <w:tcPr>
            <w:tcW w:type="dxa" w:w="2400"/>
          </w:tcPr>
          <w:p>
            <w:r>
              <w:rPr>
                <w:rFonts w:ascii="Calibri" w:cs="Calibri" w:eastAsia="Calibri" w:hAnsi="Calibri"/>
                <w:b w:val="false"/>
                <w:bCs w:val="false"/>
                <w:color w:val="000000"/>
                <w:sz w:val="20"/>
                <w:szCs w:val="20"/>
              </w:rPr>
              <w:t xml:space="preserve">$14-25/mo</w:t>
            </w:r>
          </w:p>
        </w:tc>
        <w:tc>
          <w:tcPr>
            <w:tcW w:type="dxa" w:w="1800"/>
          </w:tcPr>
          <w:p>
            <w:r>
              <w:rPr>
                <w:rFonts w:ascii="Calibri" w:cs="Calibri" w:eastAsia="Calibri" w:hAnsi="Calibri"/>
                <w:b w:val="false"/>
                <w:bCs w:val="false"/>
                <w:color w:val="000000"/>
                <w:sz w:val="20"/>
                <w:szCs w:val="20"/>
              </w:rPr>
              <w:t xml:space="preserve">2.8-5x markup</w:t>
            </w:r>
          </w:p>
        </w:tc>
      </w:tr>
      <w:tr>
        <w:tc>
          <w:tcPr>
            <w:tcW w:type="dxa" w:w="2400"/>
          </w:tcPr>
          <w:p>
            <w:r>
              <w:rPr>
                <w:rFonts w:ascii="Calibri" w:cs="Calibri" w:eastAsia="Calibri" w:hAnsi="Calibri"/>
                <w:b w:val="false"/>
                <w:bCs w:val="false"/>
                <w:color w:val="000000"/>
                <w:sz w:val="20"/>
                <w:szCs w:val="20"/>
              </w:rPr>
              <w:t xml:space="preserve">51-200 clients</w:t>
            </w:r>
          </w:p>
        </w:tc>
        <w:tc>
          <w:tcPr>
            <w:tcW w:type="dxa" w:w="2400"/>
          </w:tcPr>
          <w:p>
            <w:r>
              <w:rPr>
                <w:rFonts w:ascii="Calibri" w:cs="Calibri" w:eastAsia="Calibri" w:hAnsi="Calibri"/>
                <w:b w:val="false"/>
                <w:bCs w:val="false"/>
                <w:color w:val="000000"/>
                <w:sz w:val="20"/>
                <w:szCs w:val="20"/>
              </w:rPr>
              <w:t xml:space="preserve">$3/mo per client</w:t>
            </w:r>
          </w:p>
        </w:tc>
        <w:tc>
          <w:tcPr>
            <w:tcW w:type="dxa" w:w="2400"/>
          </w:tcPr>
          <w:p>
            <w:r>
              <w:rPr>
                <w:rFonts w:ascii="Calibri" w:cs="Calibri" w:eastAsia="Calibri" w:hAnsi="Calibri"/>
                <w:b w:val="false"/>
                <w:bCs w:val="false"/>
                <w:color w:val="000000"/>
                <w:sz w:val="20"/>
                <w:szCs w:val="20"/>
              </w:rPr>
              <w:t xml:space="preserve">$10-19/mo</w:t>
            </w:r>
          </w:p>
        </w:tc>
        <w:tc>
          <w:tcPr>
            <w:tcW w:type="dxa" w:w="1800"/>
          </w:tcPr>
          <w:p>
            <w:r>
              <w:rPr>
                <w:rFonts w:ascii="Calibri" w:cs="Calibri" w:eastAsia="Calibri" w:hAnsi="Calibri"/>
                <w:b w:val="false"/>
                <w:bCs w:val="false"/>
                <w:color w:val="000000"/>
                <w:sz w:val="20"/>
                <w:szCs w:val="20"/>
              </w:rPr>
              <w:t xml:space="preserve">3.3-6x markup</w:t>
            </w:r>
          </w:p>
        </w:tc>
      </w:tr>
      <w:tr>
        <w:tc>
          <w:tcPr>
            <w:tcW w:type="dxa" w:w="2400"/>
          </w:tcPr>
          <w:p>
            <w:r>
              <w:rPr>
                <w:rFonts w:ascii="Calibri" w:cs="Calibri" w:eastAsia="Calibri" w:hAnsi="Calibri"/>
                <w:b w:val="false"/>
                <w:bCs w:val="false"/>
                <w:color w:val="000000"/>
                <w:sz w:val="20"/>
                <w:szCs w:val="20"/>
              </w:rPr>
              <w:t xml:space="preserve">200+ clients</w:t>
            </w:r>
          </w:p>
        </w:tc>
        <w:tc>
          <w:tcPr>
            <w:tcW w:type="dxa" w:w="2400"/>
          </w:tcPr>
          <w:p>
            <w:r>
              <w:rPr>
                <w:rFonts w:ascii="Calibri" w:cs="Calibri" w:eastAsia="Calibri" w:hAnsi="Calibri"/>
                <w:b w:val="false"/>
                <w:bCs w:val="false"/>
                <w:color w:val="000000"/>
                <w:sz w:val="20"/>
                <w:szCs w:val="20"/>
              </w:rPr>
              <w:t xml:space="preserve">Custom pricing</w:t>
            </w:r>
          </w:p>
        </w:tc>
        <w:tc>
          <w:tcPr>
            <w:tcW w:type="dxa" w:w="2400"/>
          </w:tcPr>
          <w:p>
            <w:r>
              <w:rPr>
                <w:rFonts w:ascii="Calibri" w:cs="Calibri" w:eastAsia="Calibri" w:hAnsi="Calibri"/>
                <w:b w:val="false"/>
                <w:bCs w:val="false"/>
                <w:color w:val="000000"/>
                <w:sz w:val="20"/>
                <w:szCs w:val="20"/>
              </w:rPr>
              <w:t xml:space="preserve">Custom</w:t>
            </w:r>
          </w:p>
        </w:tc>
        <w:tc>
          <w:tcPr>
            <w:tcW w:type="dxa" w:w="1800"/>
          </w:tcPr>
          <w:p>
            <w:r>
              <w:rPr>
                <w:rFonts w:ascii="Calibri" w:cs="Calibri" w:eastAsia="Calibri" w:hAnsi="Calibri"/>
                <w:b w:val="false"/>
                <w:bCs w:val="false"/>
                <w:color w:val="000000"/>
                <w:sz w:val="20"/>
                <w:szCs w:val="20"/>
              </w:rPr>
              <w:t xml:space="preserve">Negotiate directly</w:t>
            </w:r>
          </w:p>
        </w:tc>
      </w:tr>
    </w:tbl>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Example: MSP with 50 SMB clients at $5/mo wholesale. They charge clients $25/mo (updated retail example). MSP revenue: $1,250/mo. Scarlet Risk revenue: $250/mo. MSP margin: $1,000/mo. Everyone wins.</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MSP Requirements</w:t>
      </w:r>
    </w:p>
    <w:p>
      <w:pPr>
        <w:pStyle w:val="ListParagraph"/>
        <w:numPr>
          <w:ilvl w:val="0"/>
          <w:numId w:val="1"/>
        </w:numPr>
        <w:spacing w:after="80"/>
      </w:pPr>
      <w:r>
        <w:rPr>
          <w:rFonts w:ascii="Calibri" w:cs="Calibri" w:eastAsia="Calibri" w:hAnsi="Calibri"/>
          <w:sz w:val="22"/>
          <w:szCs w:val="22"/>
        </w:rPr>
        <w:t xml:space="preserve">Signed MSP White-Label Agreement</w:t>
      </w:r>
    </w:p>
    <w:p>
      <w:pPr>
        <w:pStyle w:val="ListParagraph"/>
        <w:numPr>
          <w:ilvl w:val="0"/>
          <w:numId w:val="1"/>
        </w:numPr>
        <w:spacing w:after="80"/>
      </w:pPr>
      <w:r>
        <w:rPr>
          <w:rFonts w:ascii="Calibri" w:cs="Calibri" w:eastAsia="Calibri" w:hAnsi="Calibri"/>
          <w:sz w:val="22"/>
          <w:szCs w:val="22"/>
        </w:rPr>
        <w:t xml:space="preserve">Minimum 5 active client seats to activate white-label</w:t>
      </w:r>
    </w:p>
    <w:p>
      <w:pPr>
        <w:pStyle w:val="ListParagraph"/>
        <w:numPr>
          <w:ilvl w:val="0"/>
          <w:numId w:val="1"/>
        </w:numPr>
        <w:spacing w:after="80"/>
      </w:pPr>
      <w:r>
        <w:rPr>
          <w:rFonts w:ascii="Calibri" w:cs="Calibri" w:eastAsia="Calibri" w:hAnsi="Calibri"/>
          <w:sz w:val="22"/>
          <w:szCs w:val="22"/>
        </w:rPr>
        <w:t xml:space="preserve">30-day pilot available at no cost — up to 3 client seats</w:t>
      </w:r>
    </w:p>
    <w:p>
      <w:pPr>
        <w:pStyle w:val="ListParagraph"/>
        <w:numPr>
          <w:ilvl w:val="0"/>
          <w:numId w:val="1"/>
        </w:numPr>
        <w:spacing w:after="80"/>
      </w:pPr>
      <w:r>
        <w:rPr>
          <w:rFonts w:ascii="Calibri" w:cs="Calibri" w:eastAsia="Calibri" w:hAnsi="Calibri"/>
          <w:sz w:val="22"/>
          <w:szCs w:val="22"/>
        </w:rPr>
        <w:t xml:space="preserve">Technical integration call with Pete (30 minutes)</w:t>
      </w:r>
    </w:p>
    <w:p>
      <w:pPr>
        <w:pStyle w:val="Heading1"/>
        <w:spacing w:after="150" w:before="300"/>
      </w:pPr>
      <w:r>
        <w:rPr>
          <w:rFonts w:ascii="Calibri" w:cs="Calibri" w:eastAsia="Calibri" w:hAnsi="Calibri"/>
          <w:b/>
          <w:bCs/>
          <w:sz w:val="26"/>
          <w:szCs w:val="26"/>
        </w:rPr>
        <w:t xml:space="preserve">5. Track 4 — BDR/Outbound Partner (New)</w:t>
      </w:r>
    </w:p>
    <w:p>
      <w:pPr>
        <w:spacing w:after="150"/>
      </w:pPr>
      <w:r>
        <w:rPr>
          <w:rFonts w:ascii="Calibri" w:cs="Calibri" w:eastAsia="Calibri" w:hAnsi="Calibri"/>
          <w:b w:val="false"/>
          <w:bCs w:val="false"/>
          <w:i w:val="false"/>
          <w:iCs w:val="false"/>
          <w:sz w:val="22"/>
          <w:szCs w:val="22"/>
        </w:rPr>
        <w:t xml:space="preserve">For individual contractors — including independent BDRs sourcing leads via email or LinkedIn outreach — who want to earn commission without a formal sales role. No cold-calling required; Partner sources and books, Pete runs the sales conversation and closes.</w:t>
      </w:r>
    </w:p>
    <w:p>
      <w:pPr>
        <w:spacing w:after="150"/>
      </w:pPr>
      <w:r>
        <w:rPr>
          <w:rFonts w:ascii="Calibri" w:cs="Calibri" w:eastAsia="Calibri" w:hAnsi="Calibri"/>
          <w:b/>
          <w:bCs/>
          <w:i w:val="false"/>
          <w:iCs w:val="false"/>
          <w:sz w:val="22"/>
          <w:szCs w:val="22"/>
        </w:rPr>
        <w:t xml:space="preserve">How It Works</w:t>
      </w:r>
    </w:p>
    <w:p>
      <w:pPr>
        <w:pStyle w:val="ListParagraph"/>
        <w:numPr>
          <w:ilvl w:val="0"/>
          <w:numId w:val="1"/>
        </w:numPr>
        <w:spacing w:after="80"/>
      </w:pPr>
      <w:r>
        <w:rPr>
          <w:rFonts w:ascii="Calibri" w:cs="Calibri" w:eastAsia="Calibri" w:hAnsi="Calibri"/>
          <w:sz w:val="22"/>
          <w:szCs w:val="22"/>
        </w:rPr>
        <w:t xml:space="preserve">Partner sends targeted outreach (email, LinkedIn, or similar) to prospects in Scarlet Risk's ICP (CMMC/defense, HIPAA/healthcare, SOC 2/tech, MSPs)</w:t>
      </w:r>
    </w:p>
    <w:p>
      <w:pPr>
        <w:pStyle w:val="ListParagraph"/>
        <w:numPr>
          <w:ilvl w:val="0"/>
          <w:numId w:val="1"/>
        </w:numPr>
        <w:spacing w:after="80"/>
      </w:pPr>
      <w:r>
        <w:rPr>
          <w:rFonts w:ascii="Calibri" w:cs="Calibri" w:eastAsia="Calibri" w:hAnsi="Calibri"/>
          <w:sz w:val="22"/>
          <w:szCs w:val="22"/>
        </w:rPr>
        <w:t xml:space="preserve">Partner books a qualified meeting on Pete's calendar</w:t>
      </w:r>
    </w:p>
    <w:p>
      <w:pPr>
        <w:pStyle w:val="ListParagraph"/>
        <w:numPr>
          <w:ilvl w:val="0"/>
          <w:numId w:val="1"/>
        </w:numPr>
        <w:spacing w:after="80"/>
      </w:pPr>
      <w:r>
        <w:rPr>
          <w:rFonts w:ascii="Calibri" w:cs="Calibri" w:eastAsia="Calibri" w:hAnsi="Calibri"/>
          <w:sz w:val="22"/>
          <w:szCs w:val="22"/>
        </w:rPr>
        <w:t xml:space="preserve">Pete runs the sales conversation and closes the deal</w:t>
      </w:r>
    </w:p>
    <w:p>
      <w:pPr>
        <w:pStyle w:val="ListParagraph"/>
        <w:numPr>
          <w:ilvl w:val="0"/>
          <w:numId w:val="1"/>
        </w:numPr>
        <w:spacing w:after="80"/>
      </w:pPr>
      <w:r>
        <w:rPr>
          <w:rFonts w:ascii="Calibri" w:cs="Calibri" w:eastAsia="Calibri" w:hAnsi="Calibri"/>
          <w:sz w:val="22"/>
          <w:szCs w:val="22"/>
        </w:rPr>
        <w:t xml:space="preserve">If the deal closes, Partner earns commission on first-year contract value only</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Rewards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2600"/>
        <w:gridCol w:w="6400"/>
      </w:tblGrid>
      <w:tr>
        <w:tc>
          <w:tcPr>
            <w:tcW w:type="dxa" w:w="2600"/>
            <w:shd w:fill="C0392B" w:val="clear"/>
          </w:tcPr>
          <w:p>
            <w:r>
              <w:rPr>
                <w:rFonts w:ascii="Calibri" w:cs="Calibri" w:eastAsia="Calibri" w:hAnsi="Calibri"/>
                <w:b/>
                <w:bCs/>
                <w:color w:val="FFFFFF"/>
                <w:sz w:val="20"/>
                <w:szCs w:val="20"/>
              </w:rPr>
              <w:t xml:space="preserve">Structure</w:t>
            </w:r>
          </w:p>
        </w:tc>
        <w:tc>
          <w:tcPr>
            <w:tcW w:type="dxa" w:w="6400"/>
            <w:shd w:fill="C0392B" w:val="clear"/>
          </w:tcPr>
          <w:p>
            <w:r>
              <w:rPr>
                <w:rFonts w:ascii="Calibri" w:cs="Calibri" w:eastAsia="Calibri" w:hAnsi="Calibri"/>
                <w:b/>
                <w:bCs/>
                <w:color w:val="FFFFFF"/>
                <w:sz w:val="20"/>
                <w:szCs w:val="20"/>
              </w:rPr>
              <w:t xml:space="preserve">Detail</w:t>
            </w:r>
          </w:p>
        </w:tc>
      </w:tr>
      <w:tr>
        <w:tc>
          <w:tcPr>
            <w:tcW w:type="dxa" w:w="2600"/>
          </w:tcPr>
          <w:p>
            <w:r>
              <w:rPr>
                <w:rFonts w:ascii="Calibri" w:cs="Calibri" w:eastAsia="Calibri" w:hAnsi="Calibri"/>
                <w:b w:val="false"/>
                <w:bCs w:val="false"/>
                <w:color w:val="000000"/>
                <w:sz w:val="20"/>
                <w:szCs w:val="20"/>
              </w:rPr>
              <w:t xml:space="preserve">Commission rate</w:t>
            </w:r>
          </w:p>
        </w:tc>
        <w:tc>
          <w:tcPr>
            <w:tcW w:type="dxa" w:w="6400"/>
          </w:tcPr>
          <w:p>
            <w:r>
              <w:rPr>
                <w:rFonts w:ascii="Calibri" w:cs="Calibri" w:eastAsia="Calibri" w:hAnsi="Calibri"/>
                <w:b w:val="false"/>
                <w:bCs w:val="false"/>
                <w:color w:val="000000"/>
                <w:sz w:val="20"/>
                <w:szCs w:val="20"/>
              </w:rPr>
              <w:t xml:space="preserve">20-25% of first-year contract value (rate confirmed at agreement signing)</w:t>
            </w:r>
          </w:p>
        </w:tc>
      </w:tr>
      <w:tr>
        <w:tc>
          <w:tcPr>
            <w:tcW w:type="dxa" w:w="2600"/>
          </w:tcPr>
          <w:p>
            <w:r>
              <w:rPr>
                <w:rFonts w:ascii="Calibri" w:cs="Calibri" w:eastAsia="Calibri" w:hAnsi="Calibri"/>
                <w:b w:val="false"/>
                <w:bCs w:val="false"/>
                <w:color w:val="000000"/>
                <w:sz w:val="20"/>
                <w:szCs w:val="20"/>
              </w:rPr>
              <w:t xml:space="preserve">Commission cap</w:t>
            </w:r>
          </w:p>
        </w:tc>
        <w:tc>
          <w:tcPr>
            <w:tcW w:type="dxa" w:w="6400"/>
          </w:tcPr>
          <w:p>
            <w:r>
              <w:rPr>
                <w:rFonts w:ascii="Calibri" w:cs="Calibri" w:eastAsia="Calibri" w:hAnsi="Calibri"/>
                <w:b w:val="false"/>
                <w:bCs w:val="false"/>
                <w:color w:val="000000"/>
                <w:sz w:val="20"/>
                <w:szCs w:val="20"/>
              </w:rPr>
              <w:t xml:space="preserve">First-year contract value only — no commission on renewals or later upsells</w:t>
            </w:r>
          </w:p>
        </w:tc>
      </w:tr>
      <w:tr>
        <w:tc>
          <w:tcPr>
            <w:tcW w:type="dxa" w:w="2600"/>
          </w:tcPr>
          <w:p>
            <w:r>
              <w:rPr>
                <w:rFonts w:ascii="Calibri" w:cs="Calibri" w:eastAsia="Calibri" w:hAnsi="Calibri"/>
                <w:b w:val="false"/>
                <w:bCs w:val="false"/>
                <w:color w:val="000000"/>
                <w:sz w:val="20"/>
                <w:szCs w:val="20"/>
              </w:rPr>
              <w:t xml:space="preserve">Base pay / meeting fee</w:t>
            </w:r>
          </w:p>
        </w:tc>
        <w:tc>
          <w:tcPr>
            <w:tcW w:type="dxa" w:w="6400"/>
          </w:tcPr>
          <w:p>
            <w:r>
              <w:rPr>
                <w:rFonts w:ascii="Calibri" w:cs="Calibri" w:eastAsia="Calibri" w:hAnsi="Calibri"/>
                <w:b w:val="false"/>
                <w:bCs w:val="false"/>
                <w:color w:val="000000"/>
                <w:sz w:val="20"/>
                <w:szCs w:val="20"/>
              </w:rPr>
              <w:t xml:space="preserve">None at this stage. Revisit toward a flat qualified-meeting fee once Scarlet Risk is funded.</w:t>
            </w:r>
          </w:p>
        </w:tc>
      </w:tr>
      <w:tr>
        <w:tc>
          <w:tcPr>
            <w:tcW w:type="dxa" w:w="2600"/>
          </w:tcPr>
          <w:p>
            <w:r>
              <w:rPr>
                <w:rFonts w:ascii="Calibri" w:cs="Calibri" w:eastAsia="Calibri" w:hAnsi="Calibri"/>
                <w:b w:val="false"/>
                <w:bCs w:val="false"/>
                <w:color w:val="000000"/>
                <w:sz w:val="20"/>
                <w:szCs w:val="20"/>
              </w:rPr>
              <w:t xml:space="preserve">Payment terms</w:t>
            </w:r>
          </w:p>
        </w:tc>
        <w:tc>
          <w:tcPr>
            <w:tcW w:type="dxa" w:w="6400"/>
          </w:tcPr>
          <w:p>
            <w:r>
              <w:rPr>
                <w:rFonts w:ascii="Calibri" w:cs="Calibri" w:eastAsia="Calibri" w:hAnsi="Calibri"/>
                <w:b w:val="false"/>
                <w:bCs w:val="false"/>
                <w:color w:val="000000"/>
                <w:sz w:val="20"/>
                <w:szCs w:val="20"/>
              </w:rPr>
              <w:t xml:space="preserve">Net-30 after customer's first payment clears</w:t>
            </w:r>
          </w:p>
        </w:tc>
      </w:tr>
      <w:tr>
        <w:tc>
          <w:tcPr>
            <w:tcW w:type="dxa" w:w="2600"/>
          </w:tcPr>
          <w:p>
            <w:r>
              <w:rPr>
                <w:rFonts w:ascii="Calibri" w:cs="Calibri" w:eastAsia="Calibri" w:hAnsi="Calibri"/>
                <w:b w:val="false"/>
                <w:bCs w:val="false"/>
                <w:color w:val="000000"/>
                <w:sz w:val="20"/>
                <w:szCs w:val="20"/>
              </w:rPr>
              <w:t xml:space="preserve">Relationship</w:t>
            </w:r>
          </w:p>
        </w:tc>
        <w:tc>
          <w:tcPr>
            <w:tcW w:type="dxa" w:w="6400"/>
          </w:tcPr>
          <w:p>
            <w:r>
              <w:rPr>
                <w:rFonts w:ascii="Calibri" w:cs="Calibri" w:eastAsia="Calibri" w:hAnsi="Calibri"/>
                <w:b w:val="false"/>
                <w:bCs w:val="false"/>
                <w:color w:val="000000"/>
                <w:sz w:val="20"/>
                <w:szCs w:val="20"/>
              </w:rPr>
              <w:t xml:space="preserve">1099 independent contractor — Partner controls own hours and outreach methods</w:t>
            </w:r>
          </w:p>
        </w:tc>
      </w:tr>
    </w:tbl>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Example: Partner books a meeting that closes on Elite, annual prepay ($2,550 first-year value). At 20% commission, Partner earns $510 for that one closed deal. No cost to Scarlet Risk if the meeting doesn't close — pure performance-based upside.</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Requirements</w:t>
      </w:r>
    </w:p>
    <w:p>
      <w:pPr>
        <w:pStyle w:val="ListParagraph"/>
        <w:numPr>
          <w:ilvl w:val="0"/>
          <w:numId w:val="1"/>
        </w:numPr>
        <w:spacing w:after="80"/>
      </w:pPr>
      <w:r>
        <w:rPr>
          <w:rFonts w:ascii="Calibri" w:cs="Calibri" w:eastAsia="Calibri" w:hAnsi="Calibri"/>
          <w:sz w:val="22"/>
          <w:szCs w:val="22"/>
        </w:rPr>
        <w:t xml:space="preserve">Lightweight 1099 contractor agreement (provided by Pete — see BDR/Outbound Commission Agreement)</w:t>
      </w:r>
    </w:p>
    <w:p>
      <w:pPr>
        <w:pStyle w:val="ListParagraph"/>
        <w:numPr>
          <w:ilvl w:val="0"/>
          <w:numId w:val="1"/>
        </w:numPr>
        <w:spacing w:after="80"/>
      </w:pPr>
      <w:r>
        <w:rPr>
          <w:rFonts w:ascii="Calibri" w:cs="Calibri" w:eastAsia="Calibri" w:hAnsi="Calibri"/>
          <w:sz w:val="22"/>
          <w:szCs w:val="22"/>
        </w:rPr>
        <w:t xml:space="preserve">W-9 on file for payments over $600 annually (1099-NEC issued)</w:t>
      </w:r>
    </w:p>
    <w:p>
      <w:pPr>
        <w:pStyle w:val="ListParagraph"/>
        <w:numPr>
          <w:ilvl w:val="0"/>
          <w:numId w:val="1"/>
        </w:numPr>
        <w:spacing w:after="80"/>
      </w:pPr>
      <w:r>
        <w:rPr>
          <w:rFonts w:ascii="Calibri" w:cs="Calibri" w:eastAsia="Calibri" w:hAnsi="Calibri"/>
          <w:sz w:val="22"/>
          <w:szCs w:val="22"/>
        </w:rPr>
        <w:t xml:space="preserve">Outreach must comply with CAN-SPAM/CASL and represent Scarlet Risk accurately</w:t>
      </w:r>
    </w:p>
    <w:p>
      <w:pPr>
        <w:pStyle w:val="ListParagraph"/>
        <w:numPr>
          <w:ilvl w:val="0"/>
          <w:numId w:val="1"/>
        </w:numPr>
        <w:spacing w:after="80"/>
      </w:pPr>
      <w:r>
        <w:rPr>
          <w:rFonts w:ascii="Calibri" w:cs="Calibri" w:eastAsia="Calibri" w:hAnsi="Calibri"/>
          <w:sz w:val="22"/>
          <w:szCs w:val="22"/>
        </w:rPr>
        <w:t xml:space="preserve">Meetings must be booked in good faith with a genuine basis for fit — not solely to trigger compensation eligibility</w:t>
      </w:r>
    </w:p>
    <w:p>
      <w:pPr>
        <w:pStyle w:val="Heading1"/>
        <w:spacing w:after="150" w:before="300"/>
      </w:pPr>
      <w:r>
        <w:rPr>
          <w:rFonts w:ascii="Calibri" w:cs="Calibri" w:eastAsia="Calibri" w:hAnsi="Calibri"/>
          <w:b/>
          <w:bCs/>
          <w:sz w:val="26"/>
          <w:szCs w:val="26"/>
        </w:rPr>
        <w:t xml:space="preserve">6. Quick Referral Bonuses</w:t>
      </w:r>
    </w:p>
    <w:p>
      <w:pPr>
        <w:spacing w:after="150"/>
      </w:pPr>
      <w:r>
        <w:rPr>
          <w:rFonts w:ascii="Calibri" w:cs="Calibri" w:eastAsia="Calibri" w:hAnsi="Calibri"/>
          <w:b w:val="false"/>
          <w:bCs w:val="false"/>
          <w:i w:val="false"/>
          <w:iCs w:val="false"/>
          <w:sz w:val="22"/>
          <w:szCs w:val="22"/>
        </w:rPr>
        <w:t xml:space="preserve">One-time bonuses for fast movers regardless of track.</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6400"/>
        <w:gridCol w:w="2600"/>
      </w:tblGrid>
      <w:tr>
        <w:tc>
          <w:tcPr>
            <w:tcW w:type="dxa" w:w="6400"/>
            <w:shd w:fill="C0392B" w:val="clear"/>
          </w:tcPr>
          <w:p>
            <w:r>
              <w:rPr>
                <w:rFonts w:ascii="Calibri" w:cs="Calibri" w:eastAsia="Calibri" w:hAnsi="Calibri"/>
                <w:b/>
                <w:bCs/>
                <w:color w:val="FFFFFF"/>
                <w:sz w:val="20"/>
                <w:szCs w:val="20"/>
              </w:rPr>
              <w:t xml:space="preserve">Action</w:t>
            </w:r>
          </w:p>
        </w:tc>
        <w:tc>
          <w:tcPr>
            <w:tcW w:type="dxa" w:w="2600"/>
            <w:shd w:fill="C0392B" w:val="clear"/>
          </w:tcPr>
          <w:p>
            <w:r>
              <w:rPr>
                <w:rFonts w:ascii="Calibri" w:cs="Calibri" w:eastAsia="Calibri" w:hAnsi="Calibri"/>
                <w:b/>
                <w:bCs/>
                <w:color w:val="FFFFFF"/>
                <w:sz w:val="20"/>
                <w:szCs w:val="20"/>
              </w:rPr>
              <w:t xml:space="preserve">Bonus</w:t>
            </w:r>
          </w:p>
        </w:tc>
      </w:tr>
      <w:tr>
        <w:tc>
          <w:tcPr>
            <w:tcW w:type="dxa" w:w="6400"/>
          </w:tcPr>
          <w:p>
            <w:r>
              <w:rPr>
                <w:rFonts w:ascii="Calibri" w:cs="Calibri" w:eastAsia="Calibri" w:hAnsi="Calibri"/>
                <w:b w:val="false"/>
                <w:bCs w:val="false"/>
                <w:color w:val="000000"/>
                <w:sz w:val="20"/>
                <w:szCs w:val="20"/>
              </w:rPr>
              <w:t xml:space="preserve">Refer 3 customers in your first 30 days</w:t>
            </w:r>
          </w:p>
        </w:tc>
        <w:tc>
          <w:tcPr>
            <w:tcW w:type="dxa" w:w="2600"/>
          </w:tcPr>
          <w:p>
            <w:r>
              <w:rPr>
                <w:rFonts w:ascii="Calibri" w:cs="Calibri" w:eastAsia="Calibri" w:hAnsi="Calibri"/>
                <w:b w:val="false"/>
                <w:bCs w:val="false"/>
                <w:color w:val="000000"/>
                <w:sz w:val="20"/>
                <w:szCs w:val="20"/>
              </w:rPr>
              <w:t xml:space="preserve">$100 Amazon gift card</w:t>
            </w:r>
          </w:p>
        </w:tc>
      </w:tr>
      <w:tr>
        <w:tc>
          <w:tcPr>
            <w:tcW w:type="dxa" w:w="6400"/>
          </w:tcPr>
          <w:p>
            <w:r>
              <w:rPr>
                <w:rFonts w:ascii="Calibri" w:cs="Calibri" w:eastAsia="Calibri" w:hAnsi="Calibri"/>
                <w:b w:val="false"/>
                <w:bCs w:val="false"/>
                <w:color w:val="000000"/>
                <w:sz w:val="20"/>
                <w:szCs w:val="20"/>
              </w:rPr>
              <w:t xml:space="preserve">Refer an MSP who becomes a white-label partner</w:t>
            </w:r>
          </w:p>
        </w:tc>
        <w:tc>
          <w:tcPr>
            <w:tcW w:type="dxa" w:w="2600"/>
          </w:tcPr>
          <w:p>
            <w:r>
              <w:rPr>
                <w:rFonts w:ascii="Calibri" w:cs="Calibri" w:eastAsia="Calibri" w:hAnsi="Calibri"/>
                <w:b w:val="false"/>
                <w:bCs w:val="false"/>
                <w:color w:val="000000"/>
                <w:sz w:val="20"/>
                <w:szCs w:val="20"/>
              </w:rPr>
              <w:t xml:space="preserve">$500 bonus paid after 90 days active</w:t>
            </w:r>
          </w:p>
        </w:tc>
      </w:tr>
      <w:tr>
        <w:tc>
          <w:tcPr>
            <w:tcW w:type="dxa" w:w="6400"/>
          </w:tcPr>
          <w:p>
            <w:r>
              <w:rPr>
                <w:rFonts w:ascii="Calibri" w:cs="Calibri" w:eastAsia="Calibri" w:hAnsi="Calibri"/>
                <w:b w:val="false"/>
                <w:bCs w:val="false"/>
                <w:color w:val="000000"/>
                <w:sz w:val="20"/>
                <w:szCs w:val="20"/>
              </w:rPr>
              <w:t xml:space="preserve">Write a case study or testimonial we can publish</w:t>
            </w:r>
          </w:p>
        </w:tc>
        <w:tc>
          <w:tcPr>
            <w:tcW w:type="dxa" w:w="2600"/>
          </w:tcPr>
          <w:p>
            <w:r>
              <w:rPr>
                <w:rFonts w:ascii="Calibri" w:cs="Calibri" w:eastAsia="Calibri" w:hAnsi="Calibri"/>
                <w:b w:val="false"/>
                <w:bCs w:val="false"/>
                <w:color w:val="000000"/>
                <w:sz w:val="20"/>
                <w:szCs w:val="20"/>
              </w:rPr>
              <w:t xml:space="preserve">1 month free on any plan</w:t>
            </w:r>
          </w:p>
        </w:tc>
      </w:tr>
      <w:tr>
        <w:tc>
          <w:tcPr>
            <w:tcW w:type="dxa" w:w="6400"/>
          </w:tcPr>
          <w:p>
            <w:r>
              <w:rPr>
                <w:rFonts w:ascii="Calibri" w:cs="Calibri" w:eastAsia="Calibri" w:hAnsi="Calibri"/>
                <w:b w:val="false"/>
                <w:bCs w:val="false"/>
                <w:color w:val="000000"/>
                <w:sz w:val="20"/>
                <w:szCs w:val="20"/>
              </w:rPr>
              <w:t xml:space="preserve">Speak about Scarlet Risk at an event or on a podcast</w:t>
            </w:r>
          </w:p>
        </w:tc>
        <w:tc>
          <w:tcPr>
            <w:tcW w:type="dxa" w:w="2600"/>
          </w:tcPr>
          <w:p>
            <w:r>
              <w:rPr>
                <w:rFonts w:ascii="Calibri" w:cs="Calibri" w:eastAsia="Calibri" w:hAnsi="Calibri"/>
                <w:b w:val="false"/>
                <w:bCs w:val="false"/>
                <w:color w:val="000000"/>
                <w:sz w:val="20"/>
                <w:szCs w:val="20"/>
              </w:rPr>
              <w:t xml:space="preserve">$250 honorarium or equivalent credit</w:t>
            </w:r>
          </w:p>
        </w:tc>
      </w:tr>
    </w:tbl>
    <w:p>
      <w:pPr>
        <w:pStyle w:val="Heading1"/>
        <w:spacing w:after="150" w:before="300"/>
      </w:pPr>
      <w:r>
        <w:rPr>
          <w:rFonts w:ascii="Calibri" w:cs="Calibri" w:eastAsia="Calibri" w:hAnsi="Calibri"/>
          <w:b/>
          <w:bCs/>
          <w:sz w:val="26"/>
          <w:szCs w:val="26"/>
        </w:rPr>
        <w:t xml:space="preserve">7. Program Terms</w:t>
      </w:r>
    </w:p>
    <w:p>
      <w:pPr>
        <w:spacing w:after="150"/>
      </w:pPr>
      <w:r>
        <w:rPr>
          <w:rFonts w:ascii="Calibri" w:cs="Calibri" w:eastAsia="Calibri" w:hAnsi="Calibri"/>
          <w:b/>
          <w:bCs/>
          <w:i w:val="false"/>
          <w:iCs w:val="false"/>
          <w:sz w:val="22"/>
          <w:szCs w:val="22"/>
        </w:rPr>
        <w:t xml:space="preserve">Eligibility</w:t>
      </w:r>
    </w:p>
    <w:p>
      <w:pPr>
        <w:pStyle w:val="ListParagraph"/>
        <w:numPr>
          <w:ilvl w:val="0"/>
          <w:numId w:val="1"/>
        </w:numPr>
        <w:spacing w:after="80"/>
      </w:pPr>
      <w:r>
        <w:rPr>
          <w:rFonts w:ascii="Calibri" w:cs="Calibri" w:eastAsia="Calibri" w:hAnsi="Calibri"/>
          <w:sz w:val="22"/>
          <w:szCs w:val="22"/>
        </w:rPr>
        <w:t xml:space="preserve">Referrers must be 18 years or older</w:t>
      </w:r>
    </w:p>
    <w:p>
      <w:pPr>
        <w:pStyle w:val="ListParagraph"/>
        <w:numPr>
          <w:ilvl w:val="0"/>
          <w:numId w:val="1"/>
        </w:numPr>
        <w:spacing w:after="80"/>
      </w:pPr>
      <w:r>
        <w:rPr>
          <w:rFonts w:ascii="Calibri" w:cs="Calibri" w:eastAsia="Calibri" w:hAnsi="Calibri"/>
          <w:sz w:val="22"/>
          <w:szCs w:val="22"/>
        </w:rPr>
        <w:t xml:space="preserve">Customer referrals require an active paid Scarlet Risk account</w:t>
      </w:r>
    </w:p>
    <w:p>
      <w:pPr>
        <w:pStyle w:val="ListParagraph"/>
        <w:numPr>
          <w:ilvl w:val="0"/>
          <w:numId w:val="1"/>
        </w:numPr>
        <w:spacing w:after="80"/>
      </w:pPr>
      <w:r>
        <w:rPr>
          <w:rFonts w:ascii="Calibri" w:cs="Calibri" w:eastAsia="Calibri" w:hAnsi="Calibri"/>
          <w:sz w:val="22"/>
          <w:szCs w:val="22"/>
        </w:rPr>
        <w:t xml:space="preserve">Professional, MSP, and BDR/Outbound partners require a signed agreement</w:t>
      </w:r>
    </w:p>
    <w:p>
      <w:pPr>
        <w:pStyle w:val="ListParagraph"/>
        <w:numPr>
          <w:ilvl w:val="0"/>
          <w:numId w:val="1"/>
        </w:numPr>
        <w:spacing w:after="80"/>
      </w:pPr>
      <w:r>
        <w:rPr>
          <w:rFonts w:ascii="Calibri" w:cs="Calibri" w:eastAsia="Calibri" w:hAnsi="Calibri"/>
          <w:sz w:val="22"/>
          <w:szCs w:val="22"/>
        </w:rPr>
        <w:t xml:space="preserve">Employees and contractors of Scarlet Risk LLC are not eligible</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Payment</w:t>
      </w:r>
    </w:p>
    <w:p>
      <w:pPr>
        <w:pStyle w:val="ListParagraph"/>
        <w:numPr>
          <w:ilvl w:val="0"/>
          <w:numId w:val="1"/>
        </w:numPr>
        <w:spacing w:after="80"/>
      </w:pPr>
      <w:r>
        <w:rPr>
          <w:rFonts w:ascii="Calibri" w:cs="Calibri" w:eastAsia="Calibri" w:hAnsi="Calibri"/>
          <w:sz w:val="22"/>
          <w:szCs w:val="22"/>
        </w:rPr>
        <w:t xml:space="preserve">All payments in USD via ACH, check, or Stripe</w:t>
      </w:r>
    </w:p>
    <w:p>
      <w:pPr>
        <w:pStyle w:val="ListParagraph"/>
        <w:numPr>
          <w:ilvl w:val="0"/>
          <w:numId w:val="1"/>
        </w:numPr>
        <w:spacing w:after="80"/>
      </w:pPr>
      <w:r>
        <w:rPr>
          <w:rFonts w:ascii="Calibri" w:cs="Calibri" w:eastAsia="Calibri" w:hAnsi="Calibri"/>
          <w:sz w:val="22"/>
          <w:szCs w:val="22"/>
        </w:rPr>
        <w:t xml:space="preserve">Minimum payout threshold: $50. Credits accumulate below threshold.</w:t>
      </w:r>
    </w:p>
    <w:p>
      <w:pPr>
        <w:pStyle w:val="ListParagraph"/>
        <w:numPr>
          <w:ilvl w:val="0"/>
          <w:numId w:val="1"/>
        </w:numPr>
        <w:spacing w:after="80"/>
      </w:pPr>
      <w:r>
        <w:rPr>
          <w:rFonts w:ascii="Calibri" w:cs="Calibri" w:eastAsia="Calibri" w:hAnsi="Calibri"/>
          <w:sz w:val="22"/>
          <w:szCs w:val="22"/>
        </w:rPr>
        <w:t xml:space="preserve">1099-NEC issued for US partners earning $600+ in a calendar year</w:t>
      </w:r>
    </w:p>
    <w:p>
      <w:pPr>
        <w:pStyle w:val="ListParagraph"/>
        <w:numPr>
          <w:ilvl w:val="0"/>
          <w:numId w:val="1"/>
        </w:numPr>
        <w:spacing w:after="80"/>
      </w:pPr>
      <w:r>
        <w:rPr>
          <w:rFonts w:ascii="Calibri" w:cs="Calibri" w:eastAsia="Calibri" w:hAnsi="Calibri"/>
          <w:sz w:val="22"/>
          <w:szCs w:val="22"/>
        </w:rPr>
        <w:t xml:space="preserve">W-9 required before first payment for partners above threshold</w:t>
      </w:r>
    </w:p>
    <w:p>
      <w:pPr>
        <w:pStyle w:val="ListParagraph"/>
        <w:numPr>
          <w:ilvl w:val="0"/>
          <w:numId w:val="1"/>
        </w:numPr>
        <w:spacing w:after="80"/>
      </w:pPr>
      <w:r>
        <w:rPr>
          <w:rFonts w:ascii="Calibri" w:cs="Calibri" w:eastAsia="Calibri" w:hAnsi="Calibri"/>
          <w:sz w:val="22"/>
          <w:szCs w:val="22"/>
        </w:rPr>
        <w:t xml:space="preserve">Rewards vest after referred customer's first full billing cycle completes</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Restrictions</w:t>
      </w:r>
    </w:p>
    <w:p>
      <w:pPr>
        <w:pStyle w:val="ListParagraph"/>
        <w:numPr>
          <w:ilvl w:val="0"/>
          <w:numId w:val="1"/>
        </w:numPr>
        <w:spacing w:after="80"/>
      </w:pPr>
      <w:r>
        <w:rPr>
          <w:rFonts w:ascii="Calibri" w:cs="Calibri" w:eastAsia="Calibri" w:hAnsi="Calibri"/>
          <w:sz w:val="22"/>
          <w:szCs w:val="22"/>
        </w:rPr>
        <w:t xml:space="preserve">Referrals must be arm's-length — no self-referrals or family members</w:t>
      </w:r>
    </w:p>
    <w:p>
      <w:pPr>
        <w:pStyle w:val="ListParagraph"/>
        <w:numPr>
          <w:ilvl w:val="0"/>
          <w:numId w:val="1"/>
        </w:numPr>
        <w:spacing w:after="80"/>
      </w:pPr>
      <w:r>
        <w:rPr>
          <w:rFonts w:ascii="Calibri" w:cs="Calibri" w:eastAsia="Calibri" w:hAnsi="Calibri"/>
          <w:sz w:val="22"/>
          <w:szCs w:val="22"/>
        </w:rPr>
        <w:t xml:space="preserve">Referrals and BDR-sourced leads must be net-new customers not previously in our CRM</w:t>
      </w:r>
    </w:p>
    <w:p>
      <w:pPr>
        <w:pStyle w:val="ListParagraph"/>
        <w:numPr>
          <w:ilvl w:val="0"/>
          <w:numId w:val="1"/>
        </w:numPr>
        <w:spacing w:after="80"/>
      </w:pPr>
      <w:r>
        <w:rPr>
          <w:rFonts w:ascii="Calibri" w:cs="Calibri" w:eastAsia="Calibri" w:hAnsi="Calibri"/>
          <w:sz w:val="22"/>
          <w:szCs w:val="22"/>
        </w:rPr>
        <w:t xml:space="preserve">Paid advertising on Scarlet Risk brand terms requires prior written approval</w:t>
      </w:r>
    </w:p>
    <w:p>
      <w:pPr>
        <w:pStyle w:val="ListParagraph"/>
        <w:numPr>
          <w:ilvl w:val="0"/>
          <w:numId w:val="1"/>
        </w:numPr>
        <w:spacing w:after="80"/>
      </w:pPr>
      <w:r>
        <w:rPr>
          <w:rFonts w:ascii="Calibri" w:cs="Calibri" w:eastAsia="Calibri" w:hAnsi="Calibri"/>
          <w:sz w:val="22"/>
          <w:szCs w:val="22"/>
        </w:rPr>
        <w:t xml:space="preserve">Misrepresentation of Scarlet Risk products or pricing voids all rewards</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Program Changes</w:t>
      </w:r>
    </w:p>
    <w:p>
      <w:pPr>
        <w:pStyle w:val="ListParagraph"/>
        <w:numPr>
          <w:ilvl w:val="0"/>
          <w:numId w:val="1"/>
        </w:numPr>
        <w:spacing w:after="80"/>
      </w:pPr>
      <w:r>
        <w:rPr>
          <w:rFonts w:ascii="Calibri" w:cs="Calibri" w:eastAsia="Calibri" w:hAnsi="Calibri"/>
          <w:sz w:val="22"/>
          <w:szCs w:val="22"/>
        </w:rPr>
        <w:t xml:space="preserve">Scarlet Risk LLC reserves the right to modify rewards with 30-day written notice</w:t>
      </w:r>
    </w:p>
    <w:p>
      <w:pPr>
        <w:pStyle w:val="ListParagraph"/>
        <w:numPr>
          <w:ilvl w:val="0"/>
          <w:numId w:val="1"/>
        </w:numPr>
        <w:spacing w:after="80"/>
      </w:pPr>
      <w:r>
        <w:rPr>
          <w:rFonts w:ascii="Calibri" w:cs="Calibri" w:eastAsia="Calibri" w:hAnsi="Calibri"/>
          <w:sz w:val="22"/>
          <w:szCs w:val="22"/>
        </w:rPr>
        <w:t xml:space="preserve">Partners grandfathered at their current tier for 90 days after any rate change</w:t>
      </w:r>
    </w:p>
    <w:p>
      <w:pPr>
        <w:pStyle w:val="ListParagraph"/>
        <w:numPr>
          <w:ilvl w:val="0"/>
          <w:numId w:val="1"/>
        </w:numPr>
        <w:spacing w:after="80"/>
      </w:pPr>
      <w:r>
        <w:rPr>
          <w:rFonts w:ascii="Calibri" w:cs="Calibri" w:eastAsia="Calibri" w:hAnsi="Calibri"/>
          <w:sz w:val="22"/>
          <w:szCs w:val="22"/>
        </w:rPr>
        <w:t xml:space="preserve">Program may be discontinued with 60-day notice to active partners</w:t>
      </w:r>
    </w:p>
    <w:p>
      <w:pPr>
        <w:pStyle w:val="Heading1"/>
        <w:spacing w:after="150" w:before="300"/>
      </w:pPr>
      <w:r>
        <w:rPr>
          <w:rFonts w:ascii="Calibri" w:cs="Calibri" w:eastAsia="Calibri" w:hAnsi="Calibri"/>
          <w:b/>
          <w:bCs/>
          <w:sz w:val="26"/>
          <w:szCs w:val="26"/>
        </w:rPr>
        <w:t xml:space="preserve">8. How to Get Started</w:t>
      </w:r>
    </w:p>
    <w:p>
      <w:pPr>
        <w:spacing w:after="150"/>
      </w:pPr>
      <w:r>
        <w:rPr>
          <w:rFonts w:ascii="Calibri" w:cs="Calibri" w:eastAsia="Calibri" w:hAnsi="Calibri"/>
          <w:b w:val="false"/>
          <w:bCs w:val="false"/>
          <w:i w:val="false"/>
          <w:iCs w:val="false"/>
          <w:sz w:val="22"/>
          <w:szCs w:val="22"/>
        </w:rPr>
        <w:t xml:space="preserve">Ready to partner with Scarlet Risk? Email pete@scarletrisk.com with subject line: PARTNER INQUIRY</w:t>
      </w:r>
    </w:p>
    <w:p>
      <w:pPr>
        <w:spacing w:after="150"/>
      </w:pPr>
      <w:r>
        <w:rPr>
          <w:rFonts w:ascii="Calibri" w:cs="Calibri" w:eastAsia="Calibri" w:hAnsi="Calibri"/>
          <w:b/>
          <w:bCs/>
          <w:i w:val="false"/>
          <w:iCs w:val="false"/>
          <w:sz w:val="22"/>
          <w:szCs w:val="22"/>
        </w:rPr>
        <w:t xml:space="preserve">Include in your email:</w:t>
      </w:r>
    </w:p>
    <w:p>
      <w:pPr>
        <w:pStyle w:val="ListParagraph"/>
        <w:numPr>
          <w:ilvl w:val="0"/>
          <w:numId w:val="1"/>
        </w:numPr>
        <w:spacing w:after="80"/>
      </w:pPr>
      <w:r>
        <w:rPr>
          <w:rFonts w:ascii="Calibri" w:cs="Calibri" w:eastAsia="Calibri" w:hAnsi="Calibri"/>
          <w:sz w:val="22"/>
          <w:szCs w:val="22"/>
        </w:rPr>
        <w:t xml:space="preserve">Your name and company</w:t>
      </w:r>
    </w:p>
    <w:p>
      <w:pPr>
        <w:pStyle w:val="ListParagraph"/>
        <w:numPr>
          <w:ilvl w:val="0"/>
          <w:numId w:val="1"/>
        </w:numPr>
        <w:spacing w:after="80"/>
      </w:pPr>
      <w:r>
        <w:rPr>
          <w:rFonts w:ascii="Calibri" w:cs="Calibri" w:eastAsia="Calibri" w:hAnsi="Calibri"/>
          <w:sz w:val="22"/>
          <w:szCs w:val="22"/>
        </w:rPr>
        <w:t xml:space="preserve">Which track you're interested in (Customer Referral, Professional Partner, MSP White-Label, or BDR/Outbound)</w:t>
      </w:r>
    </w:p>
    <w:p>
      <w:pPr>
        <w:pStyle w:val="ListParagraph"/>
        <w:numPr>
          <w:ilvl w:val="0"/>
          <w:numId w:val="1"/>
        </w:numPr>
        <w:spacing w:after="80"/>
      </w:pPr>
      <w:r>
        <w:rPr>
          <w:rFonts w:ascii="Calibri" w:cs="Calibri" w:eastAsia="Calibri" w:hAnsi="Calibri"/>
          <w:sz w:val="22"/>
          <w:szCs w:val="22"/>
        </w:rPr>
        <w:t xml:space="preserve">Brief description of your client base, network, or outreach approach</w:t>
      </w:r>
    </w:p>
    <w:p>
      <w:pPr>
        <w:pStyle w:val="ListParagraph"/>
        <w:numPr>
          <w:ilvl w:val="0"/>
          <w:numId w:val="1"/>
        </w:numPr>
        <w:spacing w:after="80"/>
      </w:pPr>
      <w:r>
        <w:rPr>
          <w:rFonts w:ascii="Calibri" w:cs="Calibri" w:eastAsia="Calibri" w:hAnsi="Calibri"/>
          <w:sz w:val="22"/>
          <w:szCs w:val="22"/>
        </w:rPr>
        <w:t xml:space="preserve">How many referrals or meetings you think you could generate in the first 90 days</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Pete responds within 24 hours for all partner inquiries. MSP inquiries flagged as priority — response within 4 hours during business hours.</w:t>
      </w:r>
    </w:p>
    <w:p>
      <w:pPr>
        <w:spacing w:after="200"/>
      </w:pPr>
      <w:r>
        <w:rPr>
          <w:sz w:val="22"/>
          <w:szCs w:val="22"/>
        </w:rPr>
        <w:t xml:space="preserve"/>
      </w:r>
    </w:p>
    <w:p>
      <w:pPr>
        <w:spacing w:after="150"/>
      </w:pPr>
      <w:r>
        <w:rPr>
          <w:rFonts w:ascii="Calibri" w:cs="Calibri" w:eastAsia="Calibri" w:hAnsi="Calibri"/>
          <w:b w:val="false"/>
          <w:bCs w:val="false"/>
          <w:i/>
          <w:iCs/>
          <w:sz w:val="22"/>
          <w:szCs w:val="22"/>
        </w:rPr>
        <w:t xml:space="preserve">Scarlet Risk LLC · Tampa Bay, Florida · scarletrisk.com · pete@scarletrisk.com</w:t>
      </w:r>
    </w:p>
    <w:p>
      <w:pPr>
        <w:spacing w:after="150"/>
      </w:pPr>
      <w:r>
        <w:rPr>
          <w:rFonts w:ascii="Calibri" w:cs="Calibri" w:eastAsia="Calibri" w:hAnsi="Calibri"/>
          <w:b/>
          <w:bCs/>
          <w:i/>
          <w:iCs/>
          <w:sz w:val="22"/>
          <w:szCs w:val="22"/>
        </w:rPr>
        <w:t xml:space="preserve">Risk, understood. Finally.</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2026-07-16T15:39:21.013Z</dcterms:created>
  <dcterms:modified xsi:type="dcterms:W3CDTF">2026-07-16T15:39:21.025Z</dcterms:modified>
</cp:coreProperties>
</file>

<file path=docProps/custom.xml><?xml version="1.0" encoding="utf-8"?>
<Properties xmlns="http://schemas.openxmlformats.org/officeDocument/2006/custom-properties" xmlns:vt="http://schemas.openxmlformats.org/officeDocument/2006/docPropsVTypes"/>
</file>