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spacing w:after="100"/>
      </w:pPr>
      <w:r>
        <w:rPr>
          <w:rFonts w:ascii="Calibri" w:cs="Calibri" w:eastAsia="Calibri" w:hAnsi="Calibri"/>
          <w:b/>
          <w:bCs/>
          <w:sz w:val="32"/>
          <w:szCs w:val="32"/>
        </w:rPr>
        <w:t xml:space="preserve">SCARLET RISK LLC</w:t>
      </w:r>
    </w:p>
    <w:p>
      <w:pPr>
        <w:spacing w:after="150"/>
      </w:pPr>
      <w:r>
        <w:rPr>
          <w:rFonts w:ascii="Calibri" w:cs="Calibri" w:eastAsia="Calibri" w:hAnsi="Calibri"/>
          <w:b/>
          <w:bCs/>
          <w:i w:val="false"/>
          <w:iCs w:val="false"/>
          <w:sz w:val="22"/>
          <w:szCs w:val="22"/>
        </w:rPr>
        <w:t xml:space="preserve">White-Label Platform Agreement (v3.0 — July 2026 pricing update)</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This White-Label Platform Agreement ("Agreement") is entered into as of the date last signed below ("Effective Date") by and between:</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PLATFORM PROVIDER</w:t>
      </w:r>
    </w:p>
    <w:p>
      <w:pPr>
        <w:spacing w:after="150"/>
      </w:pPr>
      <w:r>
        <w:rPr>
          <w:rFonts w:ascii="Calibri" w:cs="Calibri" w:eastAsia="Calibri" w:hAnsi="Calibri"/>
          <w:b w:val="false"/>
          <w:bCs w:val="false"/>
          <w:i w:val="false"/>
          <w:iCs w:val="false"/>
          <w:sz w:val="22"/>
          <w:szCs w:val="22"/>
        </w:rPr>
        <w:t xml:space="preserve">Scarlet Risk LLC</w:t>
      </w:r>
    </w:p>
    <w:p>
      <w:pPr>
        <w:spacing w:after="150"/>
      </w:pPr>
      <w:r>
        <w:rPr>
          <w:rFonts w:ascii="Calibri" w:cs="Calibri" w:eastAsia="Calibri" w:hAnsi="Calibri"/>
          <w:b w:val="false"/>
          <w:bCs w:val="false"/>
          <w:i w:val="false"/>
          <w:iCs w:val="false"/>
          <w:sz w:val="22"/>
          <w:szCs w:val="22"/>
        </w:rPr>
        <w:t xml:space="preserve">Tampa Bay, Florida</w:t>
      </w:r>
    </w:p>
    <w:p>
      <w:pPr>
        <w:spacing w:after="150"/>
      </w:pPr>
      <w:r>
        <w:rPr>
          <w:rFonts w:ascii="Calibri" w:cs="Calibri" w:eastAsia="Calibri" w:hAnsi="Calibri"/>
          <w:b w:val="false"/>
          <w:bCs w:val="false"/>
          <w:i w:val="false"/>
          <w:iCs w:val="false"/>
          <w:sz w:val="22"/>
          <w:szCs w:val="22"/>
        </w:rPr>
        <w:t xml:space="preserve">pete@scarletrisk.com</w:t>
      </w:r>
    </w:p>
    <w:p>
      <w:pPr>
        <w:spacing w:after="150"/>
      </w:pPr>
      <w:r>
        <w:rPr>
          <w:rFonts w:ascii="Calibri" w:cs="Calibri" w:eastAsia="Calibri" w:hAnsi="Calibri"/>
          <w:b w:val="false"/>
          <w:bCs w:val="false"/>
          <w:i w:val="false"/>
          <w:iCs w:val="false"/>
          <w:sz w:val="22"/>
          <w:szCs w:val="22"/>
        </w:rPr>
        <w:t xml:space="preserve">scarletrisk.com</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PARTNER (WHITE-LABEL LICENSEE)</w:t>
      </w:r>
    </w:p>
    <w:p>
      <w:pPr>
        <w:spacing w:after="150"/>
      </w:pPr>
      <w:r>
        <w:rPr>
          <w:rFonts w:ascii="Calibri" w:cs="Calibri" w:eastAsia="Calibri" w:hAnsi="Calibri"/>
          <w:b w:val="false"/>
          <w:bCs w:val="false"/>
          <w:i w:val="false"/>
          <w:iCs w:val="false"/>
          <w:sz w:val="22"/>
          <w:szCs w:val="22"/>
        </w:rPr>
        <w:t xml:space="preserve">Company name:</w:t>
      </w:r>
    </w:p>
    <w:p>
      <w:pPr>
        <w:spacing w:after="150"/>
      </w:pPr>
      <w:r>
        <w:rPr>
          <w:rFonts w:ascii="Calibri" w:cs="Calibri" w:eastAsia="Calibri" w:hAnsi="Calibri"/>
          <w:b w:val="false"/>
          <w:bCs w:val="false"/>
          <w:i w:val="false"/>
          <w:iCs w:val="false"/>
          <w:sz w:val="22"/>
          <w:szCs w:val="22"/>
        </w:rPr>
        <w:t xml:space="preserve">Contact name:</w:t>
      </w:r>
    </w:p>
    <w:p>
      <w:pPr>
        <w:spacing w:after="150"/>
      </w:pPr>
      <w:r>
        <w:rPr>
          <w:rFonts w:ascii="Calibri" w:cs="Calibri" w:eastAsia="Calibri" w:hAnsi="Calibri"/>
          <w:b w:val="false"/>
          <w:bCs w:val="false"/>
          <w:i w:val="false"/>
          <w:iCs w:val="false"/>
          <w:sz w:val="22"/>
          <w:szCs w:val="22"/>
        </w:rPr>
        <w:t xml:space="preserve">Email:</w:t>
      </w:r>
    </w:p>
    <w:p>
      <w:pPr>
        <w:spacing w:after="150"/>
      </w:pPr>
      <w:r>
        <w:rPr>
          <w:rFonts w:ascii="Calibri" w:cs="Calibri" w:eastAsia="Calibri" w:hAnsi="Calibri"/>
          <w:b w:val="false"/>
          <w:bCs w:val="false"/>
          <w:i w:val="false"/>
          <w:iCs w:val="false"/>
          <w:sz w:val="22"/>
          <w:szCs w:val="22"/>
        </w:rPr>
        <w:t xml:space="preserve">Address:</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WHEREAS, Scarlet Risk LLC operates an AI-powered risk intelligence and compliance platform known as Scarlet Intelligence (the "Platform"); and</w:t>
      </w:r>
    </w:p>
    <w:p>
      <w:pPr>
        <w:spacing w:after="150"/>
      </w:pPr>
      <w:r>
        <w:rPr>
          <w:rFonts w:ascii="Calibri" w:cs="Calibri" w:eastAsia="Calibri" w:hAnsi="Calibri"/>
          <w:b w:val="false"/>
          <w:bCs w:val="false"/>
          <w:i w:val="false"/>
          <w:iCs w:val="false"/>
          <w:sz w:val="22"/>
          <w:szCs w:val="22"/>
        </w:rPr>
        <w:t xml:space="preserve">WHEREAS, Partner desires to license the Platform on a white-label basis to offer compliance tools and services to Partner's clients under Partner's brand;</w:t>
      </w:r>
    </w:p>
    <w:p>
      <w:pPr>
        <w:spacing w:after="150"/>
      </w:pPr>
      <w:r>
        <w:rPr>
          <w:rFonts w:ascii="Calibri" w:cs="Calibri" w:eastAsia="Calibri" w:hAnsi="Calibri"/>
          <w:b w:val="false"/>
          <w:bCs w:val="false"/>
          <w:i w:val="false"/>
          <w:iCs w:val="false"/>
          <w:sz w:val="22"/>
          <w:szCs w:val="22"/>
        </w:rPr>
        <w:t xml:space="preserve">NOW, THEREFORE, in consideration of the mutual covenants herein, the parties agree as follows:</w:t>
      </w:r>
    </w:p>
    <w:p>
      <w:pPr>
        <w:spacing w:after="150"/>
      </w:pPr>
      <w:r>
        <w:rPr>
          <w:rFonts w:ascii="Calibri" w:cs="Calibri" w:eastAsia="Calibri" w:hAnsi="Calibri"/>
          <w:b/>
          <w:bCs/>
          <w:i w:val="false"/>
          <w:iCs w:val="false"/>
          <w:sz w:val="22"/>
          <w:szCs w:val="22"/>
        </w:rPr>
        <w:t xml:space="preserve">1. Definitions</w:t>
      </w:r>
    </w:p>
    <w:p>
      <w:pPr>
        <w:pStyle w:val="ListParagraph"/>
        <w:numPr>
          <w:ilvl w:val="0"/>
          <w:numId w:val="1"/>
        </w:numPr>
        <w:spacing w:after="80"/>
      </w:pPr>
      <w:r>
        <w:rPr>
          <w:rFonts w:ascii="Calibri" w:cs="Calibri" w:eastAsia="Calibri" w:hAnsi="Calibri"/>
          <w:sz w:val="22"/>
          <w:szCs w:val="22"/>
        </w:rPr>
        <w:t xml:space="preserve">1.1. "Platform" means the Scarlet Risk software platform, including all modules (Scarlet Comply, Scarlet Intel, Scarlet Finance), Scarlet Intelligence AI functionality, updates, and associated documentation.</w:t>
      </w:r>
    </w:p>
    <w:p>
      <w:pPr>
        <w:pStyle w:val="ListParagraph"/>
        <w:numPr>
          <w:ilvl w:val="0"/>
          <w:numId w:val="1"/>
        </w:numPr>
        <w:spacing w:after="80"/>
      </w:pPr>
      <w:r>
        <w:rPr>
          <w:rFonts w:ascii="Calibri" w:cs="Calibri" w:eastAsia="Calibri" w:hAnsi="Calibri"/>
          <w:sz w:val="22"/>
          <w:szCs w:val="22"/>
        </w:rPr>
        <w:t xml:space="preserve">1.2. "White-Label License" means the non-exclusive, non-transferable right granted to Partner to offer the Platform to End Clients under Partner's own brand, domain, and pricing.</w:t>
      </w:r>
    </w:p>
    <w:p>
      <w:pPr>
        <w:pStyle w:val="ListParagraph"/>
        <w:numPr>
          <w:ilvl w:val="0"/>
          <w:numId w:val="1"/>
        </w:numPr>
        <w:spacing w:after="80"/>
      </w:pPr>
      <w:r>
        <w:rPr>
          <w:rFonts w:ascii="Calibri" w:cs="Calibri" w:eastAsia="Calibri" w:hAnsi="Calibri"/>
          <w:sz w:val="22"/>
          <w:szCs w:val="22"/>
        </w:rPr>
        <w:t xml:space="preserve">1.3. "End Clients" means the customers or clients of Partner to whom Partner offers the Platform pursuant to this Agreement.</w:t>
      </w:r>
    </w:p>
    <w:p>
      <w:pPr>
        <w:pStyle w:val="ListParagraph"/>
        <w:numPr>
          <w:ilvl w:val="0"/>
          <w:numId w:val="1"/>
        </w:numPr>
        <w:spacing w:after="80"/>
      </w:pPr>
      <w:r>
        <w:rPr>
          <w:rFonts w:ascii="Calibri" w:cs="Calibri" w:eastAsia="Calibri" w:hAnsi="Calibri"/>
          <w:sz w:val="22"/>
          <w:szCs w:val="22"/>
        </w:rPr>
        <w:t xml:space="preserve">1.4. "Partner Brand" means Partner's trademarks, logos, domain names, and other brand elements applied to the Platform interface under this Agreement.</w:t>
      </w:r>
    </w:p>
    <w:p>
      <w:pPr>
        <w:pStyle w:val="ListParagraph"/>
        <w:numPr>
          <w:ilvl w:val="0"/>
          <w:numId w:val="1"/>
        </w:numPr>
        <w:spacing w:after="80"/>
      </w:pPr>
      <w:r>
        <w:rPr>
          <w:rFonts w:ascii="Calibri" w:cs="Calibri" w:eastAsia="Calibri" w:hAnsi="Calibri"/>
          <w:sz w:val="22"/>
          <w:szCs w:val="22"/>
        </w:rPr>
        <w:t xml:space="preserve">1.5. "Seat" means one active End Client account on the Platform in any given billing month.</w:t>
      </w:r>
    </w:p>
    <w:p>
      <w:pPr>
        <w:pStyle w:val="ListParagraph"/>
        <w:numPr>
          <w:ilvl w:val="0"/>
          <w:numId w:val="1"/>
        </w:numPr>
        <w:spacing w:after="80"/>
      </w:pPr>
      <w:r>
        <w:rPr>
          <w:rFonts w:ascii="Calibri" w:cs="Calibri" w:eastAsia="Calibri" w:hAnsi="Calibri"/>
          <w:sz w:val="22"/>
          <w:szCs w:val="22"/>
        </w:rPr>
        <w:t xml:space="preserve">1.6. "Wholesale Fee" means the per-Seat monthly fee payable by Partner to Scarlet Risk as set forth in Schedule A. Wholesale Fees are independent of Scarlet Risk's own direct retail subscription pricing and are not affected by changes to Scarlet Risk's Go/Pro/Elite/Team tier pricing.</w:t>
      </w:r>
    </w:p>
    <w:p>
      <w:pPr>
        <w:spacing w:after="150"/>
      </w:pPr>
      <w:r>
        <w:rPr>
          <w:rFonts w:ascii="Calibri" w:cs="Calibri" w:eastAsia="Calibri" w:hAnsi="Calibri"/>
          <w:b/>
          <w:bCs/>
          <w:i w:val="false"/>
          <w:iCs w:val="false"/>
          <w:sz w:val="22"/>
          <w:szCs w:val="22"/>
        </w:rPr>
        <w:t xml:space="preserve">2. License Grant</w:t>
      </w:r>
    </w:p>
    <w:p>
      <w:pPr>
        <w:spacing w:after="150"/>
      </w:pPr>
      <w:r>
        <w:rPr>
          <w:rFonts w:ascii="Calibri" w:cs="Calibri" w:eastAsia="Calibri" w:hAnsi="Calibri"/>
          <w:b w:val="false"/>
          <w:bCs w:val="false"/>
          <w:i w:val="false"/>
          <w:iCs w:val="false"/>
          <w:sz w:val="22"/>
          <w:szCs w:val="22"/>
        </w:rPr>
        <w:t xml:space="preserve">2.1. Subject to the terms of this Agreement, Scarlet Risk grants Partner a non-exclusive, non-transferable, revocable white-label license to:</w:t>
      </w:r>
    </w:p>
    <w:p>
      <w:pPr>
        <w:pStyle w:val="ListParagraph"/>
        <w:numPr>
          <w:ilvl w:val="0"/>
          <w:numId w:val="1"/>
        </w:numPr>
        <w:spacing w:after="80"/>
      </w:pPr>
      <w:r>
        <w:rPr>
          <w:rFonts w:ascii="Calibri" w:cs="Calibri" w:eastAsia="Calibri" w:hAnsi="Calibri"/>
          <w:sz w:val="22"/>
          <w:szCs w:val="22"/>
        </w:rPr>
        <w:t xml:space="preserve">(a) Deploy the Platform under Partner's brand name and domain;</w:t>
      </w:r>
    </w:p>
    <w:p>
      <w:pPr>
        <w:pStyle w:val="ListParagraph"/>
        <w:numPr>
          <w:ilvl w:val="0"/>
          <w:numId w:val="1"/>
        </w:numPr>
        <w:spacing w:after="80"/>
      </w:pPr>
      <w:r>
        <w:rPr>
          <w:rFonts w:ascii="Calibri" w:cs="Calibri" w:eastAsia="Calibri" w:hAnsi="Calibri"/>
          <w:sz w:val="22"/>
          <w:szCs w:val="22"/>
        </w:rPr>
        <w:t xml:space="preserve">(b) Offer the Platform's features and functionality to End Clients;</w:t>
      </w:r>
    </w:p>
    <w:p>
      <w:pPr>
        <w:pStyle w:val="ListParagraph"/>
        <w:numPr>
          <w:ilvl w:val="0"/>
          <w:numId w:val="1"/>
        </w:numPr>
        <w:spacing w:after="80"/>
      </w:pPr>
      <w:r>
        <w:rPr>
          <w:rFonts w:ascii="Calibri" w:cs="Calibri" w:eastAsia="Calibri" w:hAnsi="Calibri"/>
          <w:sz w:val="22"/>
          <w:szCs w:val="22"/>
        </w:rPr>
        <w:t xml:space="preserve">(c) Set Partner's own pricing and billing terms with End Clients;</w:t>
      </w:r>
    </w:p>
    <w:p>
      <w:pPr>
        <w:pStyle w:val="ListParagraph"/>
        <w:numPr>
          <w:ilvl w:val="0"/>
          <w:numId w:val="1"/>
        </w:numPr>
        <w:spacing w:after="80"/>
      </w:pPr>
      <w:r>
        <w:rPr>
          <w:rFonts w:ascii="Calibri" w:cs="Calibri" w:eastAsia="Calibri" w:hAnsi="Calibri"/>
          <w:sz w:val="22"/>
          <w:szCs w:val="22"/>
        </w:rPr>
        <w:t xml:space="preserve">(d) Apply Partner Brand elements to the Platform interface.</w:t>
      </w:r>
    </w:p>
    <w:p>
      <w:pPr>
        <w:spacing w:after="150"/>
      </w:pPr>
      <w:r>
        <w:rPr>
          <w:rFonts w:ascii="Calibri" w:cs="Calibri" w:eastAsia="Calibri" w:hAnsi="Calibri"/>
          <w:b w:val="false"/>
          <w:bCs w:val="false"/>
          <w:i w:val="false"/>
          <w:iCs w:val="false"/>
          <w:sz w:val="22"/>
          <w:szCs w:val="22"/>
        </w:rPr>
        <w:t xml:space="preserve">2.2. The license does not include the right to sublicense, resell the Platform to other resellers, access the underlying source code, reverse engineer the Platform, or modify core Platform functionality.</w:t>
      </w:r>
    </w:p>
    <w:p>
      <w:pPr>
        <w:spacing w:after="150"/>
      </w:pPr>
      <w:r>
        <w:rPr>
          <w:rFonts w:ascii="Calibri" w:cs="Calibri" w:eastAsia="Calibri" w:hAnsi="Calibri"/>
          <w:b w:val="false"/>
          <w:bCs w:val="false"/>
          <w:i w:val="false"/>
          <w:iCs w:val="false"/>
          <w:sz w:val="22"/>
          <w:szCs w:val="22"/>
        </w:rPr>
        <w:t xml:space="preserve">2.3. Scarlet Risk retains all intellectual property rights in and to the Platform, including all AI models, algorithms, and underlying technology.</w:t>
      </w:r>
    </w:p>
    <w:p>
      <w:pPr>
        <w:spacing w:after="150"/>
      </w:pPr>
      <w:r>
        <w:rPr>
          <w:rFonts w:ascii="Calibri" w:cs="Calibri" w:eastAsia="Calibri" w:hAnsi="Calibri"/>
          <w:b/>
          <w:bCs/>
          <w:i w:val="false"/>
          <w:iCs w:val="false"/>
          <w:sz w:val="22"/>
          <w:szCs w:val="22"/>
        </w:rPr>
        <w:t xml:space="preserve">3. Partner Obligations</w:t>
      </w:r>
    </w:p>
    <w:p>
      <w:pPr>
        <w:pStyle w:val="ListParagraph"/>
        <w:numPr>
          <w:ilvl w:val="0"/>
          <w:numId w:val="1"/>
        </w:numPr>
        <w:spacing w:after="80"/>
      </w:pPr>
      <w:r>
        <w:rPr>
          <w:rFonts w:ascii="Calibri" w:cs="Calibri" w:eastAsia="Calibri" w:hAnsi="Calibri"/>
          <w:sz w:val="22"/>
          <w:szCs w:val="22"/>
        </w:rPr>
        <w:t xml:space="preserve">3.1. Partner shall maintain a minimum of five (5) active Seats during the term of this Agreement.</w:t>
      </w:r>
    </w:p>
    <w:p>
      <w:pPr>
        <w:pStyle w:val="ListParagraph"/>
        <w:numPr>
          <w:ilvl w:val="0"/>
          <w:numId w:val="1"/>
        </w:numPr>
        <w:spacing w:after="80"/>
      </w:pPr>
      <w:r>
        <w:rPr>
          <w:rFonts w:ascii="Calibri" w:cs="Calibri" w:eastAsia="Calibri" w:hAnsi="Calibri"/>
          <w:sz w:val="22"/>
          <w:szCs w:val="22"/>
        </w:rPr>
        <w:t xml:space="preserve">3.2. Partner is solely responsible for: (a) billing and collecting payment from End Clients; (b) first-line customer support for End Clients; (c) onboarding End Clients to the Platform; (d) ensuring End Client compliance with acceptable use policies.</w:t>
      </w:r>
    </w:p>
    <w:p>
      <w:pPr>
        <w:pStyle w:val="ListParagraph"/>
        <w:numPr>
          <w:ilvl w:val="0"/>
          <w:numId w:val="1"/>
        </w:numPr>
        <w:spacing w:after="80"/>
      </w:pPr>
      <w:r>
        <w:rPr>
          <w:rFonts w:ascii="Calibri" w:cs="Calibri" w:eastAsia="Calibri" w:hAnsi="Calibri"/>
          <w:sz w:val="22"/>
          <w:szCs w:val="22"/>
        </w:rPr>
        <w:t xml:space="preserve">3.3. Partner shall not represent to End Clients that the Platform was built by Partner or misrepresent the source of the underlying technology.</w:t>
      </w:r>
    </w:p>
    <w:p>
      <w:pPr>
        <w:pStyle w:val="ListParagraph"/>
        <w:numPr>
          <w:ilvl w:val="0"/>
          <w:numId w:val="1"/>
        </w:numPr>
        <w:spacing w:after="80"/>
      </w:pPr>
      <w:r>
        <w:rPr>
          <w:rFonts w:ascii="Calibri" w:cs="Calibri" w:eastAsia="Calibri" w:hAnsi="Calibri"/>
          <w:sz w:val="22"/>
          <w:szCs w:val="22"/>
        </w:rPr>
        <w:t xml:space="preserve">3.4. Partner shall comply with all applicable laws and regulations in marketing and delivering the Platform to End Clients, including data privacy laws applicable to the industries served.</w:t>
      </w:r>
    </w:p>
    <w:p>
      <w:pPr>
        <w:pStyle w:val="ListParagraph"/>
        <w:numPr>
          <w:ilvl w:val="0"/>
          <w:numId w:val="1"/>
        </w:numPr>
        <w:spacing w:after="80"/>
      </w:pPr>
      <w:r>
        <w:rPr>
          <w:rFonts w:ascii="Calibri" w:cs="Calibri" w:eastAsia="Calibri" w:hAnsi="Calibri"/>
          <w:sz w:val="22"/>
          <w:szCs w:val="22"/>
        </w:rPr>
        <w:t xml:space="preserve">3.5. Partner shall promptly notify Scarlet Risk of any security incidents, data breaches, or material complaints from End Clients relating to the Platform.</w:t>
      </w:r>
    </w:p>
    <w:p>
      <w:pPr>
        <w:spacing w:after="150"/>
      </w:pPr>
      <w:r>
        <w:rPr>
          <w:rFonts w:ascii="Calibri" w:cs="Calibri" w:eastAsia="Calibri" w:hAnsi="Calibri"/>
          <w:b/>
          <w:bCs/>
          <w:i w:val="false"/>
          <w:iCs w:val="false"/>
          <w:sz w:val="22"/>
          <w:szCs w:val="22"/>
        </w:rPr>
        <w:t xml:space="preserve">4. Fees and Payment</w:t>
      </w:r>
    </w:p>
    <w:p>
      <w:pPr>
        <w:pStyle w:val="ListParagraph"/>
        <w:numPr>
          <w:ilvl w:val="0"/>
          <w:numId w:val="1"/>
        </w:numPr>
        <w:spacing w:after="80"/>
      </w:pPr>
      <w:r>
        <w:rPr>
          <w:rFonts w:ascii="Calibri" w:cs="Calibri" w:eastAsia="Calibri" w:hAnsi="Calibri"/>
          <w:sz w:val="22"/>
          <w:szCs w:val="22"/>
        </w:rPr>
        <w:t xml:space="preserve">4.1. Partner shall pay Scarlet Risk the Wholesale Fee for each active Seat per month as set forth in Schedule A attached hereto.</w:t>
      </w:r>
    </w:p>
    <w:p>
      <w:pPr>
        <w:pStyle w:val="ListParagraph"/>
        <w:numPr>
          <w:ilvl w:val="0"/>
          <w:numId w:val="1"/>
        </w:numPr>
        <w:spacing w:after="80"/>
      </w:pPr>
      <w:r>
        <w:rPr>
          <w:rFonts w:ascii="Calibri" w:cs="Calibri" w:eastAsia="Calibri" w:hAnsi="Calibri"/>
          <w:sz w:val="22"/>
          <w:szCs w:val="22"/>
        </w:rPr>
        <w:t xml:space="preserve">4.2. Scarlet Risk will invoice Partner on the first business day of each month for the prior month's active Seat count. Payment is due Net-30 from invoice date.</w:t>
      </w:r>
    </w:p>
    <w:p>
      <w:pPr>
        <w:pStyle w:val="ListParagraph"/>
        <w:numPr>
          <w:ilvl w:val="0"/>
          <w:numId w:val="1"/>
        </w:numPr>
        <w:spacing w:after="80"/>
      </w:pPr>
      <w:r>
        <w:rPr>
          <w:rFonts w:ascii="Calibri" w:cs="Calibri" w:eastAsia="Calibri" w:hAnsi="Calibri"/>
          <w:sz w:val="22"/>
          <w:szCs w:val="22"/>
        </w:rPr>
        <w:t xml:space="preserve">4.3. Partner may set any retail pricing with End Clients. Partner retains all revenue collected from End Clients above the Wholesale Fee.</w:t>
      </w:r>
    </w:p>
    <w:p>
      <w:pPr>
        <w:pStyle w:val="ListParagraph"/>
        <w:numPr>
          <w:ilvl w:val="0"/>
          <w:numId w:val="1"/>
        </w:numPr>
        <w:spacing w:after="80"/>
      </w:pPr>
      <w:r>
        <w:rPr>
          <w:rFonts w:ascii="Calibri" w:cs="Calibri" w:eastAsia="Calibri" w:hAnsi="Calibri"/>
          <w:sz w:val="22"/>
          <w:szCs w:val="22"/>
        </w:rPr>
        <w:t xml:space="preserve">4.4. Late payments accrue interest at 1.5% per month. Accounts more than 60 days past due may result in suspension of Platform access.</w:t>
      </w:r>
    </w:p>
    <w:p>
      <w:pPr>
        <w:pStyle w:val="ListParagraph"/>
        <w:numPr>
          <w:ilvl w:val="0"/>
          <w:numId w:val="1"/>
        </w:numPr>
        <w:spacing w:after="80"/>
      </w:pPr>
      <w:r>
        <w:rPr>
          <w:rFonts w:ascii="Calibri" w:cs="Calibri" w:eastAsia="Calibri" w:hAnsi="Calibri"/>
          <w:sz w:val="22"/>
          <w:szCs w:val="22"/>
        </w:rPr>
        <w:t xml:space="preserve">4.5. Wholesale Fees are subject to adjustment with 60 days written notice. Partner volume tier pricing is locked for 12 months from the Effective Date.</w:t>
      </w:r>
    </w:p>
    <w:p>
      <w:pPr>
        <w:spacing w:after="150"/>
      </w:pPr>
      <w:r>
        <w:rPr>
          <w:rFonts w:ascii="Calibri" w:cs="Calibri" w:eastAsia="Calibri" w:hAnsi="Calibri"/>
          <w:b/>
          <w:bCs/>
          <w:i w:val="false"/>
          <w:iCs w:val="false"/>
          <w:sz w:val="22"/>
          <w:szCs w:val="22"/>
        </w:rPr>
        <w:t xml:space="preserve">5. Branding and Customization</w:t>
      </w:r>
    </w:p>
    <w:p>
      <w:pPr>
        <w:pStyle w:val="ListParagraph"/>
        <w:numPr>
          <w:ilvl w:val="0"/>
          <w:numId w:val="1"/>
        </w:numPr>
        <w:spacing w:after="80"/>
      </w:pPr>
      <w:r>
        <w:rPr>
          <w:rFonts w:ascii="Calibri" w:cs="Calibri" w:eastAsia="Calibri" w:hAnsi="Calibri"/>
          <w:sz w:val="22"/>
          <w:szCs w:val="22"/>
        </w:rPr>
        <w:t xml:space="preserve">5.1. Scarlet Risk will configure the Platform with Partner's logo, color scheme, and custom subdomain (e.g., compliance.partner.com) within five (5) business days of receiving brand assets.</w:t>
      </w:r>
    </w:p>
    <w:p>
      <w:pPr>
        <w:pStyle w:val="ListParagraph"/>
        <w:numPr>
          <w:ilvl w:val="0"/>
          <w:numId w:val="1"/>
        </w:numPr>
        <w:spacing w:after="80"/>
      </w:pPr>
      <w:r>
        <w:rPr>
          <w:rFonts w:ascii="Calibri" w:cs="Calibri" w:eastAsia="Calibri" w:hAnsi="Calibri"/>
          <w:sz w:val="22"/>
          <w:szCs w:val="22"/>
        </w:rPr>
        <w:t xml:space="preserve">5.2. The phrase "Powered by Scarlet Risk" or similar attribution may appear in the Platform footer at Scarlet Risk's discretion unless Partner has elected the full white-label tier with attribution removal.</w:t>
      </w:r>
    </w:p>
    <w:p>
      <w:pPr>
        <w:pStyle w:val="ListParagraph"/>
        <w:numPr>
          <w:ilvl w:val="0"/>
          <w:numId w:val="1"/>
        </w:numPr>
        <w:spacing w:after="80"/>
      </w:pPr>
      <w:r>
        <w:rPr>
          <w:rFonts w:ascii="Calibri" w:cs="Calibri" w:eastAsia="Calibri" w:hAnsi="Calibri"/>
          <w:sz w:val="22"/>
          <w:szCs w:val="22"/>
        </w:rPr>
        <w:t xml:space="preserve">5.3. Partner grants Scarlet Risk a limited license to display Partner Brand solely for the purpose of configuring and operating the white-label environment.</w:t>
      </w:r>
    </w:p>
    <w:p>
      <w:pPr>
        <w:pStyle w:val="ListParagraph"/>
        <w:numPr>
          <w:ilvl w:val="0"/>
          <w:numId w:val="1"/>
        </w:numPr>
        <w:spacing w:after="80"/>
      </w:pPr>
      <w:r>
        <w:rPr>
          <w:rFonts w:ascii="Calibri" w:cs="Calibri" w:eastAsia="Calibri" w:hAnsi="Calibri"/>
          <w:sz w:val="22"/>
          <w:szCs w:val="22"/>
        </w:rPr>
        <w:t xml:space="preserve">5.4. Partner may not use Scarlet Risk's name, logo, or trademarks in Partner's own marketing without prior written approval.</w:t>
      </w:r>
    </w:p>
    <w:p>
      <w:pPr>
        <w:spacing w:after="150"/>
      </w:pPr>
      <w:r>
        <w:rPr>
          <w:rFonts w:ascii="Calibri" w:cs="Calibri" w:eastAsia="Calibri" w:hAnsi="Calibri"/>
          <w:b/>
          <w:bCs/>
          <w:i w:val="false"/>
          <w:iCs w:val="false"/>
          <w:sz w:val="22"/>
          <w:szCs w:val="22"/>
        </w:rPr>
        <w:t xml:space="preserve">6. Confidentiality</w:t>
      </w:r>
    </w:p>
    <w:p>
      <w:pPr>
        <w:pStyle w:val="ListParagraph"/>
        <w:numPr>
          <w:ilvl w:val="0"/>
          <w:numId w:val="1"/>
        </w:numPr>
        <w:spacing w:after="80"/>
      </w:pPr>
      <w:r>
        <w:rPr>
          <w:rFonts w:ascii="Calibri" w:cs="Calibri" w:eastAsia="Calibri" w:hAnsi="Calibri"/>
          <w:sz w:val="22"/>
          <w:szCs w:val="22"/>
        </w:rPr>
        <w:t xml:space="preserve">6.1. Each party agrees to keep confidential all non-public information received from the other party, including pricing, technical specifications, End Client data, and business strategies.</w:t>
      </w:r>
    </w:p>
    <w:p>
      <w:pPr>
        <w:pStyle w:val="ListParagraph"/>
        <w:numPr>
          <w:ilvl w:val="0"/>
          <w:numId w:val="1"/>
        </w:numPr>
        <w:spacing w:after="80"/>
      </w:pPr>
      <w:r>
        <w:rPr>
          <w:rFonts w:ascii="Calibri" w:cs="Calibri" w:eastAsia="Calibri" w:hAnsi="Calibri"/>
          <w:sz w:val="22"/>
          <w:szCs w:val="22"/>
        </w:rPr>
        <w:t xml:space="preserve">6.2. Confidential information shall not be disclosed to third parties without prior written consent and shall be protected with the same care the receiving party uses for its own confidential information, but no less than reasonable care.</w:t>
      </w:r>
    </w:p>
    <w:p>
      <w:pPr>
        <w:pStyle w:val="ListParagraph"/>
        <w:numPr>
          <w:ilvl w:val="0"/>
          <w:numId w:val="1"/>
        </w:numPr>
        <w:spacing w:after="80"/>
      </w:pPr>
      <w:r>
        <w:rPr>
          <w:rFonts w:ascii="Calibri" w:cs="Calibri" w:eastAsia="Calibri" w:hAnsi="Calibri"/>
          <w:sz w:val="22"/>
          <w:szCs w:val="22"/>
        </w:rPr>
        <w:t xml:space="preserve">6.3. Confidentiality obligations survive termination of this Agreement for three (3) years.</w:t>
      </w:r>
    </w:p>
    <w:p>
      <w:pPr>
        <w:spacing w:after="150"/>
      </w:pPr>
      <w:r>
        <w:rPr>
          <w:rFonts w:ascii="Calibri" w:cs="Calibri" w:eastAsia="Calibri" w:hAnsi="Calibri"/>
          <w:b/>
          <w:bCs/>
          <w:i w:val="false"/>
          <w:iCs w:val="false"/>
          <w:sz w:val="22"/>
          <w:szCs w:val="22"/>
        </w:rPr>
        <w:t xml:space="preserve">7. Data and Privacy</w:t>
      </w:r>
    </w:p>
    <w:p>
      <w:pPr>
        <w:pStyle w:val="ListParagraph"/>
        <w:numPr>
          <w:ilvl w:val="0"/>
          <w:numId w:val="1"/>
        </w:numPr>
        <w:spacing w:after="80"/>
      </w:pPr>
      <w:r>
        <w:rPr>
          <w:rFonts w:ascii="Calibri" w:cs="Calibri" w:eastAsia="Calibri" w:hAnsi="Calibri"/>
          <w:sz w:val="22"/>
          <w:szCs w:val="22"/>
        </w:rPr>
        <w:t xml:space="preserve">7.1. Scarlet Risk processes End Client data solely to provide the Platform services as directed by Partner and End Clients.</w:t>
      </w:r>
    </w:p>
    <w:p>
      <w:pPr>
        <w:pStyle w:val="ListParagraph"/>
        <w:numPr>
          <w:ilvl w:val="0"/>
          <w:numId w:val="1"/>
        </w:numPr>
        <w:spacing w:after="80"/>
      </w:pPr>
      <w:r>
        <w:rPr>
          <w:rFonts w:ascii="Calibri" w:cs="Calibri" w:eastAsia="Calibri" w:hAnsi="Calibri"/>
          <w:sz w:val="22"/>
          <w:szCs w:val="22"/>
        </w:rPr>
        <w:t xml:space="preserve">7.2. Partner is the data controller for End Client data. Scarlet Risk acts as a data processor. Both parties shall comply with applicable data protection laws including CCPA and any industry-specific regulations applicable to End Clients' industries (HIPAA, GLBA, etc.).</w:t>
      </w:r>
    </w:p>
    <w:p>
      <w:pPr>
        <w:pStyle w:val="ListParagraph"/>
        <w:numPr>
          <w:ilvl w:val="0"/>
          <w:numId w:val="1"/>
        </w:numPr>
        <w:spacing w:after="80"/>
      </w:pPr>
      <w:r>
        <w:rPr>
          <w:rFonts w:ascii="Calibri" w:cs="Calibri" w:eastAsia="Calibri" w:hAnsi="Calibri"/>
          <w:sz w:val="22"/>
          <w:szCs w:val="22"/>
        </w:rPr>
        <w:t xml:space="preserve">7.3. Scarlet Risk implements industry-standard security measures to protect End Client data, including encryption at rest and in transit, access controls, and regular security assessments.</w:t>
      </w:r>
    </w:p>
    <w:p>
      <w:pPr>
        <w:pStyle w:val="ListParagraph"/>
        <w:numPr>
          <w:ilvl w:val="0"/>
          <w:numId w:val="1"/>
        </w:numPr>
        <w:spacing w:after="80"/>
      </w:pPr>
      <w:r>
        <w:rPr>
          <w:rFonts w:ascii="Calibri" w:cs="Calibri" w:eastAsia="Calibri" w:hAnsi="Calibri"/>
          <w:sz w:val="22"/>
          <w:szCs w:val="22"/>
        </w:rPr>
        <w:t xml:space="preserve">7.4. End Client data will not be used to train AI models or shared with third parties except as required to provide the Platform services.</w:t>
      </w:r>
    </w:p>
    <w:p>
      <w:pPr>
        <w:pStyle w:val="ListParagraph"/>
        <w:numPr>
          <w:ilvl w:val="0"/>
          <w:numId w:val="1"/>
        </w:numPr>
        <w:spacing w:after="80"/>
      </w:pPr>
      <w:r>
        <w:rPr>
          <w:rFonts w:ascii="Calibri" w:cs="Calibri" w:eastAsia="Calibri" w:hAnsi="Calibri"/>
          <w:sz w:val="22"/>
          <w:szCs w:val="22"/>
        </w:rPr>
        <w:t xml:space="preserve">7.5. Upon termination of an End Client's account, that End Client's data remains available for export for 30 days, consistent with Scarlet Risk's standard data retention policy, after which it is permanently deleted.</w:t>
      </w:r>
    </w:p>
    <w:p>
      <w:pPr>
        <w:spacing w:after="150"/>
      </w:pPr>
      <w:r>
        <w:rPr>
          <w:rFonts w:ascii="Calibri" w:cs="Calibri" w:eastAsia="Calibri" w:hAnsi="Calibri"/>
          <w:b/>
          <w:bCs/>
          <w:i w:val="false"/>
          <w:iCs w:val="false"/>
          <w:sz w:val="22"/>
          <w:szCs w:val="22"/>
        </w:rPr>
        <w:t xml:space="preserve">8. Term and Termination</w:t>
      </w:r>
    </w:p>
    <w:p>
      <w:pPr>
        <w:pStyle w:val="ListParagraph"/>
        <w:numPr>
          <w:ilvl w:val="0"/>
          <w:numId w:val="1"/>
        </w:numPr>
        <w:spacing w:after="80"/>
      </w:pPr>
      <w:r>
        <w:rPr>
          <w:rFonts w:ascii="Calibri" w:cs="Calibri" w:eastAsia="Calibri" w:hAnsi="Calibri"/>
          <w:sz w:val="22"/>
          <w:szCs w:val="22"/>
        </w:rPr>
        <w:t xml:space="preserve">8.1. This Agreement commences on the Effective Date and continues for twelve (12) months ("Initial Term"), automatically renewing for successive twelve-month periods unless terminated.</w:t>
      </w:r>
    </w:p>
    <w:p>
      <w:pPr>
        <w:pStyle w:val="ListParagraph"/>
        <w:numPr>
          <w:ilvl w:val="0"/>
          <w:numId w:val="1"/>
        </w:numPr>
        <w:spacing w:after="80"/>
      </w:pPr>
      <w:r>
        <w:rPr>
          <w:rFonts w:ascii="Calibri" w:cs="Calibri" w:eastAsia="Calibri" w:hAnsi="Calibri"/>
          <w:sz w:val="22"/>
          <w:szCs w:val="22"/>
        </w:rPr>
        <w:t xml:space="preserve">8.2. Either party may terminate this Agreement for any reason with sixty (60) days written notice to the other party.</w:t>
      </w:r>
    </w:p>
    <w:p>
      <w:pPr>
        <w:pStyle w:val="ListParagraph"/>
        <w:numPr>
          <w:ilvl w:val="0"/>
          <w:numId w:val="1"/>
        </w:numPr>
        <w:spacing w:after="80"/>
      </w:pPr>
      <w:r>
        <w:rPr>
          <w:rFonts w:ascii="Calibri" w:cs="Calibri" w:eastAsia="Calibri" w:hAnsi="Calibri"/>
          <w:sz w:val="22"/>
          <w:szCs w:val="22"/>
        </w:rPr>
        <w:t xml:space="preserve">8.3. Either party may terminate immediately upon written notice if the other party: (a) materially breaches this Agreement and fails to cure within 30 days of notice; (b) becomes insolvent or files for bankruptcy; (c) engages in fraudulent or illegal conduct.</w:t>
      </w:r>
    </w:p>
    <w:p>
      <w:pPr>
        <w:pStyle w:val="ListParagraph"/>
        <w:numPr>
          <w:ilvl w:val="0"/>
          <w:numId w:val="1"/>
        </w:numPr>
        <w:spacing w:after="80"/>
      </w:pPr>
      <w:r>
        <w:rPr>
          <w:rFonts w:ascii="Calibri" w:cs="Calibri" w:eastAsia="Calibri" w:hAnsi="Calibri"/>
          <w:sz w:val="22"/>
          <w:szCs w:val="22"/>
        </w:rPr>
        <w:t xml:space="preserve">8.4. Upon termination, Partner shall: (a) immediately cease offering the Platform to new End Clients; (b) provide End Clients reasonable notice of service discontinuation; (c) pay all outstanding Wholesale Fees within 30 days.</w:t>
      </w:r>
    </w:p>
    <w:p>
      <w:pPr>
        <w:pStyle w:val="ListParagraph"/>
        <w:numPr>
          <w:ilvl w:val="0"/>
          <w:numId w:val="1"/>
        </w:numPr>
        <w:spacing w:after="80"/>
      </w:pPr>
      <w:r>
        <w:rPr>
          <w:rFonts w:ascii="Calibri" w:cs="Calibri" w:eastAsia="Calibri" w:hAnsi="Calibri"/>
          <w:sz w:val="22"/>
          <w:szCs w:val="22"/>
        </w:rPr>
        <w:t xml:space="preserve">8.5. Scarlet Risk will provide Partner with End Client data export capability for 30 days following termination.</w:t>
      </w:r>
    </w:p>
    <w:p>
      <w:pPr>
        <w:spacing w:after="150"/>
      </w:pPr>
      <w:r>
        <w:rPr>
          <w:rFonts w:ascii="Calibri" w:cs="Calibri" w:eastAsia="Calibri" w:hAnsi="Calibri"/>
          <w:b/>
          <w:bCs/>
          <w:i w:val="false"/>
          <w:iCs w:val="false"/>
          <w:sz w:val="22"/>
          <w:szCs w:val="22"/>
        </w:rPr>
        <w:t xml:space="preserve">9. Warranties and Disclaimers</w:t>
      </w:r>
    </w:p>
    <w:p>
      <w:pPr>
        <w:pStyle w:val="ListParagraph"/>
        <w:numPr>
          <w:ilvl w:val="0"/>
          <w:numId w:val="1"/>
        </w:numPr>
        <w:spacing w:after="80"/>
      </w:pPr>
      <w:r>
        <w:rPr>
          <w:rFonts w:ascii="Calibri" w:cs="Calibri" w:eastAsia="Calibri" w:hAnsi="Calibri"/>
          <w:sz w:val="22"/>
          <w:szCs w:val="22"/>
        </w:rPr>
        <w:t xml:space="preserve">9.1. Scarlet Risk warrants that the Platform will perform materially in accordance with its documentation and that Scarlet Risk has the right to grant the licenses herein.</w:t>
      </w:r>
    </w:p>
    <w:p>
      <w:pPr>
        <w:pStyle w:val="ListParagraph"/>
        <w:numPr>
          <w:ilvl w:val="0"/>
          <w:numId w:val="1"/>
        </w:numPr>
        <w:spacing w:after="80"/>
      </w:pPr>
      <w:r>
        <w:rPr>
          <w:rFonts w:ascii="Calibri" w:cs="Calibri" w:eastAsia="Calibri" w:hAnsi="Calibri"/>
          <w:sz w:val="22"/>
          <w:szCs w:val="22"/>
        </w:rPr>
        <w:t xml:space="preserve">9.2. THE PLATFORM IS PROVIDED "AS IS" WITH RESPECT TO ANY WARRANTIES NOT EXPRESSLY STATED HEREIN. SCARLET RISK DOES NOT WARRANT THAT THE PLATFORM WILL BE ERROR-FREE OR UNINTERRUPTED.</w:t>
      </w:r>
    </w:p>
    <w:p>
      <w:pPr>
        <w:pStyle w:val="ListParagraph"/>
        <w:numPr>
          <w:ilvl w:val="0"/>
          <w:numId w:val="1"/>
        </w:numPr>
        <w:spacing w:after="80"/>
      </w:pPr>
      <w:r>
        <w:rPr>
          <w:rFonts w:ascii="Calibri" w:cs="Calibri" w:eastAsia="Calibri" w:hAnsi="Calibri"/>
          <w:sz w:val="22"/>
          <w:szCs w:val="22"/>
        </w:rPr>
        <w:t xml:space="preserve">9.3. THE PLATFORM IS A RISK INTELLIGENCE TOOL AND DOES NOT CONSTITUTE LEGAL, COMPLIANCE, OR REGULATORY ADVICE. PARTNER AND END CLIENTS ARE RESPONSIBLE FOR THEIR OWN COMPLIANCE OBLIGATIONS.</w:t>
      </w:r>
    </w:p>
    <w:p>
      <w:pPr>
        <w:spacing w:after="150"/>
      </w:pPr>
      <w:r>
        <w:rPr>
          <w:rFonts w:ascii="Calibri" w:cs="Calibri" w:eastAsia="Calibri" w:hAnsi="Calibri"/>
          <w:b/>
          <w:bCs/>
          <w:i w:val="false"/>
          <w:iCs w:val="false"/>
          <w:sz w:val="22"/>
          <w:szCs w:val="22"/>
        </w:rPr>
        <w:t xml:space="preserve">10. Limitation of Liability</w:t>
      </w:r>
    </w:p>
    <w:p>
      <w:pPr>
        <w:pStyle w:val="ListParagraph"/>
        <w:numPr>
          <w:ilvl w:val="0"/>
          <w:numId w:val="1"/>
        </w:numPr>
        <w:spacing w:after="80"/>
      </w:pPr>
      <w:r>
        <w:rPr>
          <w:rFonts w:ascii="Calibri" w:cs="Calibri" w:eastAsia="Calibri" w:hAnsi="Calibri"/>
          <w:sz w:val="22"/>
          <w:szCs w:val="22"/>
        </w:rPr>
        <w:t xml:space="preserve">10.1. NEITHER PARTY SHALL BE LIABLE FOR INDIRECT, INCIDENTAL, SPECIAL, OR CONSEQUENTIAL DAMAGES ARISING FROM THIS AGREEMENT, EVEN IF ADVISED OF THE POSSIBILITY OF SUCH DAMAGES.</w:t>
      </w:r>
    </w:p>
    <w:p>
      <w:pPr>
        <w:pStyle w:val="ListParagraph"/>
        <w:numPr>
          <w:ilvl w:val="0"/>
          <w:numId w:val="1"/>
        </w:numPr>
        <w:spacing w:after="80"/>
      </w:pPr>
      <w:r>
        <w:rPr>
          <w:rFonts w:ascii="Calibri" w:cs="Calibri" w:eastAsia="Calibri" w:hAnsi="Calibri"/>
          <w:sz w:val="22"/>
          <w:szCs w:val="22"/>
        </w:rPr>
        <w:t xml:space="preserve">10.2. SCARLET RISK'S TOTAL CUMULATIVE LIABILITY SHALL NOT EXCEED THE WHOLESALE FEES PAID BY PARTNER IN THE THREE (3) MONTHS PRECEDING THE CLAIM.</w:t>
      </w:r>
    </w:p>
    <w:p>
      <w:pPr>
        <w:spacing w:after="150"/>
      </w:pPr>
      <w:r>
        <w:rPr>
          <w:rFonts w:ascii="Calibri" w:cs="Calibri" w:eastAsia="Calibri" w:hAnsi="Calibri"/>
          <w:b/>
          <w:bCs/>
          <w:i w:val="false"/>
          <w:iCs w:val="false"/>
          <w:sz w:val="22"/>
          <w:szCs w:val="22"/>
        </w:rPr>
        <w:t xml:space="preserve">11. General Provisions</w:t>
      </w:r>
    </w:p>
    <w:p>
      <w:pPr>
        <w:pStyle w:val="ListParagraph"/>
        <w:numPr>
          <w:ilvl w:val="0"/>
          <w:numId w:val="1"/>
        </w:numPr>
        <w:spacing w:after="80"/>
      </w:pPr>
      <w:r>
        <w:rPr>
          <w:rFonts w:ascii="Calibri" w:cs="Calibri" w:eastAsia="Calibri" w:hAnsi="Calibri"/>
          <w:sz w:val="22"/>
          <w:szCs w:val="22"/>
        </w:rPr>
        <w:t xml:space="preserve">11.1. Governing Law. This Agreement is governed by the laws of the State of Florida without regard to conflict of law principles.</w:t>
      </w:r>
    </w:p>
    <w:p>
      <w:pPr>
        <w:pStyle w:val="ListParagraph"/>
        <w:numPr>
          <w:ilvl w:val="0"/>
          <w:numId w:val="1"/>
        </w:numPr>
        <w:spacing w:after="80"/>
      </w:pPr>
      <w:r>
        <w:rPr>
          <w:rFonts w:ascii="Calibri" w:cs="Calibri" w:eastAsia="Calibri" w:hAnsi="Calibri"/>
          <w:sz w:val="22"/>
          <w:szCs w:val="22"/>
        </w:rPr>
        <w:t xml:space="preserve">11.2. Dispute Resolution. The parties shall attempt to resolve disputes through good-faith negotiation for 30 days before pursuing other remedies. Any litigation shall be in Hillsborough County, Florida.</w:t>
      </w:r>
    </w:p>
    <w:p>
      <w:pPr>
        <w:pStyle w:val="ListParagraph"/>
        <w:numPr>
          <w:ilvl w:val="0"/>
          <w:numId w:val="1"/>
        </w:numPr>
        <w:spacing w:after="80"/>
      </w:pPr>
      <w:r>
        <w:rPr>
          <w:rFonts w:ascii="Calibri" w:cs="Calibri" w:eastAsia="Calibri" w:hAnsi="Calibri"/>
          <w:sz w:val="22"/>
          <w:szCs w:val="22"/>
        </w:rPr>
        <w:t xml:space="preserve">11.3. Entire Agreement. This Agreement, including Schedule A, constitutes the entire agreement between the parties regarding its subject matter and supersedes all prior agreements.</w:t>
      </w:r>
    </w:p>
    <w:p>
      <w:pPr>
        <w:pStyle w:val="ListParagraph"/>
        <w:numPr>
          <w:ilvl w:val="0"/>
          <w:numId w:val="1"/>
        </w:numPr>
        <w:spacing w:after="80"/>
      </w:pPr>
      <w:r>
        <w:rPr>
          <w:rFonts w:ascii="Calibri" w:cs="Calibri" w:eastAsia="Calibri" w:hAnsi="Calibri"/>
          <w:sz w:val="22"/>
          <w:szCs w:val="22"/>
        </w:rPr>
        <w:t xml:space="preserve">11.4. Amendment. This Agreement may only be amended by written instrument signed by both parties.</w:t>
      </w:r>
    </w:p>
    <w:p>
      <w:pPr>
        <w:pStyle w:val="ListParagraph"/>
        <w:numPr>
          <w:ilvl w:val="0"/>
          <w:numId w:val="1"/>
        </w:numPr>
        <w:spacing w:after="80"/>
      </w:pPr>
      <w:r>
        <w:rPr>
          <w:rFonts w:ascii="Calibri" w:cs="Calibri" w:eastAsia="Calibri" w:hAnsi="Calibri"/>
          <w:sz w:val="22"/>
          <w:szCs w:val="22"/>
        </w:rPr>
        <w:t xml:space="preserve">11.5. Assignment. Neither party may assign this Agreement without the other's prior written consent, except Scarlet Risk may assign in connection with a merger or acquisition.</w:t>
      </w:r>
    </w:p>
    <w:p>
      <w:pPr>
        <w:pStyle w:val="ListParagraph"/>
        <w:numPr>
          <w:ilvl w:val="0"/>
          <w:numId w:val="1"/>
        </w:numPr>
        <w:spacing w:after="80"/>
      </w:pPr>
      <w:r>
        <w:rPr>
          <w:rFonts w:ascii="Calibri" w:cs="Calibri" w:eastAsia="Calibri" w:hAnsi="Calibri"/>
          <w:sz w:val="22"/>
          <w:szCs w:val="22"/>
        </w:rPr>
        <w:t xml:space="preserve">11.6. Severability. If any provision is held unenforceable, the remaining provisions continue in full force.</w:t>
      </w:r>
    </w:p>
    <w:p>
      <w:pPr>
        <w:pStyle w:val="ListParagraph"/>
        <w:numPr>
          <w:ilvl w:val="0"/>
          <w:numId w:val="1"/>
        </w:numPr>
        <w:spacing w:after="80"/>
      </w:pPr>
      <w:r>
        <w:rPr>
          <w:rFonts w:ascii="Calibri" w:cs="Calibri" w:eastAsia="Calibri" w:hAnsi="Calibri"/>
          <w:sz w:val="22"/>
          <w:szCs w:val="22"/>
        </w:rPr>
        <w:t xml:space="preserve">11.7. Notices. Notices shall be sent to the email addresses in the party block above and are effective upon confirmed delivery.</w:t>
      </w:r>
    </w:p>
    <w:p>
      <w:pPr>
        <w:spacing w:after="200"/>
      </w:pPr>
      <w:r>
        <w:rPr>
          <w:sz w:val="22"/>
          <w:szCs w:val="22"/>
        </w:rPr>
        <w:t xml:space="preserve"/>
      </w:r>
    </w:p>
    <w:p>
      <w:pPr>
        <w:spacing w:after="150"/>
      </w:pPr>
      <w:r>
        <w:rPr>
          <w:rFonts w:ascii="Calibri" w:cs="Calibri" w:eastAsia="Calibri" w:hAnsi="Calibri"/>
          <w:b w:val="false"/>
          <w:bCs w:val="false"/>
          <w:i/>
          <w:iCs/>
          <w:sz w:val="22"/>
          <w:szCs w:val="22"/>
        </w:rPr>
        <w:t xml:space="preserve">IN WITNESS WHEREOF, the parties have executed this Agreement as of the Effective Date.</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SCARLET RISK LLC                    PARTNER</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Signature                           Signature</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Printed Name                        Printed Name</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Title                               Title</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Date                                Date</w:t>
      </w:r>
    </w:p>
    <w:p>
      <w:pPr>
        <w:spacing w:after="200"/>
      </w:pPr>
      <w:r>
        <w:rPr>
          <w:sz w:val="22"/>
          <w:szCs w:val="22"/>
        </w:rPr>
        <w:t xml:space="preserve"/>
      </w:r>
    </w:p>
    <w:p>
      <w:pPr>
        <w:spacing w:after="150"/>
      </w:pPr>
      <w:r>
        <w:rPr>
          <w:rFonts w:ascii="Calibri" w:cs="Calibri" w:eastAsia="Calibri" w:hAnsi="Calibri"/>
          <w:b/>
          <w:bCs/>
          <w:i w:val="false"/>
          <w:iCs w:val="false"/>
          <w:sz w:val="22"/>
          <w:szCs w:val="22"/>
        </w:rPr>
        <w:t xml:space="preserve">SCHEDULE A — WHOLESALE FEE SCHEDULE</w:t>
      </w:r>
    </w:p>
    <w:p>
      <w:pPr>
        <w:spacing w:after="150"/>
      </w:pPr>
      <w:r>
        <w:rPr>
          <w:rFonts w:ascii="Calibri" w:cs="Calibri" w:eastAsia="Calibri" w:hAnsi="Calibri"/>
          <w:b w:val="false"/>
          <w:bCs w:val="false"/>
          <w:i/>
          <w:iCs/>
          <w:sz w:val="22"/>
          <w:szCs w:val="22"/>
        </w:rPr>
        <w:t xml:space="preserve">(Wholesale pricing unchanged in July 2026 update — this schedule is independent of Scarlet Risk's direct retail tier pricing. Suggested retail ranges refreshed slightly to reflect current market positioning.)</w:t>
      </w:r>
    </w:p>
    <w:p>
      <w:pPr>
        <w:spacing w:after="150"/>
      </w:pPr>
      <w:r>
        <w:rPr>
          <w:rFonts w:ascii="Calibri" w:cs="Calibri" w:eastAsia="Calibri" w:hAnsi="Calibri"/>
          <w:b w:val="false"/>
          <w:bCs w:val="false"/>
          <w:i w:val="false"/>
          <w:iCs w:val="false"/>
          <w:sz w:val="22"/>
          <w:szCs w:val="22"/>
        </w:rPr>
        <w:t xml:space="preserve">Effective Date: _____________________________</w:t>
      </w:r>
    </w:p>
    <w:p>
      <w:pPr>
        <w:spacing w:after="200"/>
      </w:pPr>
      <w:r>
        <w:rPr>
          <w:sz w:val="22"/>
          <w:szCs w:val="22"/>
        </w:rPr>
        <w:t xml:space="preserve"/>
      </w:r>
    </w:p>
    <w:tbl>
      <w:tblPr>
        <w:tblW w:type="dxa" w:w="9000"/>
        <w:tblBorders>
          <w:top w:val="single" w:color="auto" w:sz="4"/>
          <w:left w:val="single" w:color="auto" w:sz="4"/>
          <w:bottom w:val="single" w:color="auto" w:sz="4"/>
          <w:right w:val="single" w:color="auto" w:sz="4"/>
          <w:insideH w:val="single" w:color="auto" w:sz="4"/>
          <w:insideV w:val="single" w:color="auto" w:sz="4"/>
        </w:tblBorders>
      </w:tblPr>
      <w:tblGrid>
        <w:gridCol w:w="2400"/>
        <w:gridCol w:w="2400"/>
        <w:gridCol w:w="2200"/>
        <w:gridCol w:w="2000"/>
      </w:tblGrid>
      <w:tr>
        <w:tc>
          <w:tcPr>
            <w:tcW w:type="dxa" w:w="2400"/>
            <w:shd w:fill="C0392B" w:val="clear"/>
          </w:tcPr>
          <w:p>
            <w:r>
              <w:rPr>
                <w:rFonts w:ascii="Calibri" w:cs="Calibri" w:eastAsia="Calibri" w:hAnsi="Calibri"/>
                <w:b/>
                <w:bCs/>
                <w:color w:val="FFFFFF"/>
                <w:sz w:val="20"/>
                <w:szCs w:val="20"/>
              </w:rPr>
              <w:t xml:space="preserve">Active Seats / Month</w:t>
            </w:r>
          </w:p>
        </w:tc>
        <w:tc>
          <w:tcPr>
            <w:tcW w:type="dxa" w:w="2400"/>
            <w:shd w:fill="C0392B" w:val="clear"/>
          </w:tcPr>
          <w:p>
            <w:r>
              <w:rPr>
                <w:rFonts w:ascii="Calibri" w:cs="Calibri" w:eastAsia="Calibri" w:hAnsi="Calibri"/>
                <w:b/>
                <w:bCs/>
                <w:color w:val="FFFFFF"/>
                <w:sz w:val="20"/>
                <w:szCs w:val="20"/>
              </w:rPr>
              <w:t xml:space="preserve">Wholesale Fee / Seat / Mo</w:t>
            </w:r>
          </w:p>
        </w:tc>
        <w:tc>
          <w:tcPr>
            <w:tcW w:type="dxa" w:w="2200"/>
            <w:shd w:fill="C0392B" w:val="clear"/>
          </w:tcPr>
          <w:p>
            <w:r>
              <w:rPr>
                <w:rFonts w:ascii="Calibri" w:cs="Calibri" w:eastAsia="Calibri" w:hAnsi="Calibri"/>
                <w:b/>
                <w:bCs/>
                <w:color w:val="FFFFFF"/>
                <w:sz w:val="20"/>
                <w:szCs w:val="20"/>
              </w:rPr>
              <w:t xml:space="preserve">Suggested Retail</w:t>
            </w:r>
          </w:p>
        </w:tc>
        <w:tc>
          <w:tcPr>
            <w:tcW w:type="dxa" w:w="2000"/>
            <w:shd w:fill="C0392B" w:val="clear"/>
          </w:tcPr>
          <w:p>
            <w:r>
              <w:rPr>
                <w:rFonts w:ascii="Calibri" w:cs="Calibri" w:eastAsia="Calibri" w:hAnsi="Calibri"/>
                <w:b/>
                <w:bCs/>
                <w:color w:val="FFFFFF"/>
                <w:sz w:val="20"/>
                <w:szCs w:val="20"/>
              </w:rPr>
              <w:t xml:space="preserve">Est. Partner Margin</w:t>
            </w:r>
          </w:p>
        </w:tc>
      </w:tr>
      <w:tr>
        <w:tc>
          <w:tcPr>
            <w:tcW w:type="dxa" w:w="2400"/>
          </w:tcPr>
          <w:p>
            <w:r>
              <w:rPr>
                <w:rFonts w:ascii="Calibri" w:cs="Calibri" w:eastAsia="Calibri" w:hAnsi="Calibri"/>
                <w:b w:val="false"/>
                <w:bCs w:val="false"/>
                <w:color w:val="000000"/>
                <w:sz w:val="20"/>
                <w:szCs w:val="20"/>
              </w:rPr>
              <w:t xml:space="preserve">1 – 10</w:t>
            </w:r>
          </w:p>
        </w:tc>
        <w:tc>
          <w:tcPr>
            <w:tcW w:type="dxa" w:w="2400"/>
          </w:tcPr>
          <w:p>
            <w:r>
              <w:rPr>
                <w:rFonts w:ascii="Calibri" w:cs="Calibri" w:eastAsia="Calibri" w:hAnsi="Calibri"/>
                <w:b w:val="false"/>
                <w:bCs w:val="false"/>
                <w:color w:val="000000"/>
                <w:sz w:val="20"/>
                <w:szCs w:val="20"/>
              </w:rPr>
              <w:t xml:space="preserve">$7.00</w:t>
            </w:r>
          </w:p>
        </w:tc>
        <w:tc>
          <w:tcPr>
            <w:tcW w:type="dxa" w:w="2200"/>
          </w:tcPr>
          <w:p>
            <w:r>
              <w:rPr>
                <w:rFonts w:ascii="Calibri" w:cs="Calibri" w:eastAsia="Calibri" w:hAnsi="Calibri"/>
                <w:b w:val="false"/>
                <w:bCs w:val="false"/>
                <w:color w:val="000000"/>
                <w:sz w:val="20"/>
                <w:szCs w:val="20"/>
              </w:rPr>
              <w:t xml:space="preserve">$16 – $29</w:t>
            </w:r>
          </w:p>
        </w:tc>
        <w:tc>
          <w:tcPr>
            <w:tcW w:type="dxa" w:w="2000"/>
          </w:tcPr>
          <w:p>
            <w:r>
              <w:rPr>
                <w:rFonts w:ascii="Calibri" w:cs="Calibri" w:eastAsia="Calibri" w:hAnsi="Calibri"/>
                <w:b w:val="false"/>
                <w:bCs w:val="false"/>
                <w:color w:val="000000"/>
                <w:sz w:val="20"/>
                <w:szCs w:val="20"/>
              </w:rPr>
              <w:t xml:space="preserve">2.3x – 4x</w:t>
            </w:r>
          </w:p>
        </w:tc>
      </w:tr>
      <w:tr>
        <w:tc>
          <w:tcPr>
            <w:tcW w:type="dxa" w:w="2400"/>
          </w:tcPr>
          <w:p>
            <w:r>
              <w:rPr>
                <w:rFonts w:ascii="Calibri" w:cs="Calibri" w:eastAsia="Calibri" w:hAnsi="Calibri"/>
                <w:b w:val="false"/>
                <w:bCs w:val="false"/>
                <w:color w:val="000000"/>
                <w:sz w:val="20"/>
                <w:szCs w:val="20"/>
              </w:rPr>
              <w:t xml:space="preserve">11 – 50</w:t>
            </w:r>
          </w:p>
        </w:tc>
        <w:tc>
          <w:tcPr>
            <w:tcW w:type="dxa" w:w="2400"/>
          </w:tcPr>
          <w:p>
            <w:r>
              <w:rPr>
                <w:rFonts w:ascii="Calibri" w:cs="Calibri" w:eastAsia="Calibri" w:hAnsi="Calibri"/>
                <w:b w:val="false"/>
                <w:bCs w:val="false"/>
                <w:color w:val="000000"/>
                <w:sz w:val="20"/>
                <w:szCs w:val="20"/>
              </w:rPr>
              <w:t xml:space="preserve">$5.00</w:t>
            </w:r>
          </w:p>
        </w:tc>
        <w:tc>
          <w:tcPr>
            <w:tcW w:type="dxa" w:w="2200"/>
          </w:tcPr>
          <w:p>
            <w:r>
              <w:rPr>
                <w:rFonts w:ascii="Calibri" w:cs="Calibri" w:eastAsia="Calibri" w:hAnsi="Calibri"/>
                <w:b w:val="false"/>
                <w:bCs w:val="false"/>
                <w:color w:val="000000"/>
                <w:sz w:val="20"/>
                <w:szCs w:val="20"/>
              </w:rPr>
              <w:t xml:space="preserve">$14 – $25</w:t>
            </w:r>
          </w:p>
        </w:tc>
        <w:tc>
          <w:tcPr>
            <w:tcW w:type="dxa" w:w="2000"/>
          </w:tcPr>
          <w:p>
            <w:r>
              <w:rPr>
                <w:rFonts w:ascii="Calibri" w:cs="Calibri" w:eastAsia="Calibri" w:hAnsi="Calibri"/>
                <w:b w:val="false"/>
                <w:bCs w:val="false"/>
                <w:color w:val="000000"/>
                <w:sz w:val="20"/>
                <w:szCs w:val="20"/>
              </w:rPr>
              <w:t xml:space="preserve">2.8x – 5x</w:t>
            </w:r>
          </w:p>
        </w:tc>
      </w:tr>
      <w:tr>
        <w:tc>
          <w:tcPr>
            <w:tcW w:type="dxa" w:w="2400"/>
          </w:tcPr>
          <w:p>
            <w:r>
              <w:rPr>
                <w:rFonts w:ascii="Calibri" w:cs="Calibri" w:eastAsia="Calibri" w:hAnsi="Calibri"/>
                <w:b w:val="false"/>
                <w:bCs w:val="false"/>
                <w:color w:val="000000"/>
                <w:sz w:val="20"/>
                <w:szCs w:val="20"/>
              </w:rPr>
              <w:t xml:space="preserve">51 – 200</w:t>
            </w:r>
          </w:p>
        </w:tc>
        <w:tc>
          <w:tcPr>
            <w:tcW w:type="dxa" w:w="2400"/>
          </w:tcPr>
          <w:p>
            <w:r>
              <w:rPr>
                <w:rFonts w:ascii="Calibri" w:cs="Calibri" w:eastAsia="Calibri" w:hAnsi="Calibri"/>
                <w:b w:val="false"/>
                <w:bCs w:val="false"/>
                <w:color w:val="000000"/>
                <w:sz w:val="20"/>
                <w:szCs w:val="20"/>
              </w:rPr>
              <w:t xml:space="preserve">$3.00</w:t>
            </w:r>
          </w:p>
        </w:tc>
        <w:tc>
          <w:tcPr>
            <w:tcW w:type="dxa" w:w="2200"/>
          </w:tcPr>
          <w:p>
            <w:r>
              <w:rPr>
                <w:rFonts w:ascii="Calibri" w:cs="Calibri" w:eastAsia="Calibri" w:hAnsi="Calibri"/>
                <w:b w:val="false"/>
                <w:bCs w:val="false"/>
                <w:color w:val="000000"/>
                <w:sz w:val="20"/>
                <w:szCs w:val="20"/>
              </w:rPr>
              <w:t xml:space="preserve">$10 – $19</w:t>
            </w:r>
          </w:p>
        </w:tc>
        <w:tc>
          <w:tcPr>
            <w:tcW w:type="dxa" w:w="2000"/>
          </w:tcPr>
          <w:p>
            <w:r>
              <w:rPr>
                <w:rFonts w:ascii="Calibri" w:cs="Calibri" w:eastAsia="Calibri" w:hAnsi="Calibri"/>
                <w:b w:val="false"/>
                <w:bCs w:val="false"/>
                <w:color w:val="000000"/>
                <w:sz w:val="20"/>
                <w:szCs w:val="20"/>
              </w:rPr>
              <w:t xml:space="preserve">3.3x – 6x</w:t>
            </w:r>
          </w:p>
        </w:tc>
      </w:tr>
      <w:tr>
        <w:tc>
          <w:tcPr>
            <w:tcW w:type="dxa" w:w="2400"/>
          </w:tcPr>
          <w:p>
            <w:r>
              <w:rPr>
                <w:rFonts w:ascii="Calibri" w:cs="Calibri" w:eastAsia="Calibri" w:hAnsi="Calibri"/>
                <w:b w:val="false"/>
                <w:bCs w:val="false"/>
                <w:color w:val="000000"/>
                <w:sz w:val="20"/>
                <w:szCs w:val="20"/>
              </w:rPr>
              <w:t xml:space="preserve">200+</w:t>
            </w:r>
          </w:p>
        </w:tc>
        <w:tc>
          <w:tcPr>
            <w:tcW w:type="dxa" w:w="2400"/>
          </w:tcPr>
          <w:p>
            <w:r>
              <w:rPr>
                <w:rFonts w:ascii="Calibri" w:cs="Calibri" w:eastAsia="Calibri" w:hAnsi="Calibri"/>
                <w:b w:val="false"/>
                <w:bCs w:val="false"/>
                <w:color w:val="000000"/>
                <w:sz w:val="20"/>
                <w:szCs w:val="20"/>
              </w:rPr>
              <w:t xml:space="preserve">Custom — contact Pete</w:t>
            </w:r>
          </w:p>
        </w:tc>
        <w:tc>
          <w:tcPr>
            <w:tcW w:type="dxa" w:w="2200"/>
          </w:tcPr>
          <w:p>
            <w:r>
              <w:rPr>
                <w:rFonts w:ascii="Calibri" w:cs="Calibri" w:eastAsia="Calibri" w:hAnsi="Calibri"/>
                <w:b w:val="false"/>
                <w:bCs w:val="false"/>
                <w:color w:val="000000"/>
                <w:sz w:val="20"/>
                <w:szCs w:val="20"/>
              </w:rPr>
              <w:t xml:space="preserve">Custom</w:t>
            </w:r>
          </w:p>
        </w:tc>
        <w:tc>
          <w:tcPr>
            <w:tcW w:type="dxa" w:w="2000"/>
          </w:tcPr>
          <w:p>
            <w:r>
              <w:rPr>
                <w:rFonts w:ascii="Calibri" w:cs="Calibri" w:eastAsia="Calibri" w:hAnsi="Calibri"/>
                <w:b w:val="false"/>
                <w:bCs w:val="false"/>
                <w:color w:val="000000"/>
                <w:sz w:val="20"/>
                <w:szCs w:val="20"/>
              </w:rPr>
              <w:t xml:space="preserve">Negotiate directly</w:t>
            </w:r>
          </w:p>
        </w:tc>
      </w:tr>
    </w:tbl>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Pilot Program: Scarlet Risk offers a 30-day free pilot with up to 3 Seats for qualifying Partners. Pilot does not require minimum seat commitment. Full Agreement terms apply during pilot period.</w:t>
      </w:r>
    </w:p>
    <w:p>
      <w:pPr>
        <w:spacing w:after="150"/>
      </w:pPr>
      <w:r>
        <w:rPr>
          <w:rFonts w:ascii="Calibri" w:cs="Calibri" w:eastAsia="Calibri" w:hAnsi="Calibri"/>
          <w:b w:val="false"/>
          <w:bCs w:val="false"/>
          <w:i w:val="false"/>
          <w:iCs w:val="false"/>
          <w:sz w:val="22"/>
          <w:szCs w:val="22"/>
        </w:rPr>
        <w:t xml:space="preserve">Volume Tier Lock: Partner's volume tier pricing is locked for 12 months from Effective Date. Tier upgrades take effect the following billing cycle.</w:t>
      </w:r>
    </w:p>
    <w:p>
      <w:pPr>
        <w:spacing w:after="150"/>
      </w:pPr>
      <w:r>
        <w:rPr>
          <w:rFonts w:ascii="Calibri" w:cs="Calibri" w:eastAsia="Calibri" w:hAnsi="Calibri"/>
          <w:b w:val="false"/>
          <w:bCs w:val="false"/>
          <w:i w:val="false"/>
          <w:iCs w:val="false"/>
          <w:sz w:val="22"/>
          <w:szCs w:val="22"/>
        </w:rPr>
        <w:t xml:space="preserve">Payment Terms: Net-30 from invoice date. ACH, check, or Stripe accepted.</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SCARLET RISK LLC — Schedule A Acknowledgment       PARTNER — Schedule A Acknowledgment</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Signature                                          Signature</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Printed Name                                       Printed Name</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Title                                              Title</w:t>
      </w:r>
    </w:p>
    <w:p>
      <w:pPr>
        <w:spacing w:after="200"/>
      </w:pPr>
      <w:r>
        <w:rPr>
          <w:sz w:val="22"/>
          <w:szCs w:val="22"/>
        </w:rPr>
        <w:t xml:space="preserve"/>
      </w:r>
    </w:p>
    <w:p>
      <w:pPr>
        <w:spacing w:after="150"/>
      </w:pPr>
      <w:r>
        <w:rPr>
          <w:rFonts w:ascii="Calibri" w:cs="Calibri" w:eastAsia="Calibri" w:hAnsi="Calibri"/>
          <w:b w:val="false"/>
          <w:bCs w:val="false"/>
          <w:i w:val="false"/>
          <w:iCs w:val="false"/>
          <w:sz w:val="22"/>
          <w:szCs w:val="22"/>
        </w:rPr>
        <w:t xml:space="preserve">Date                                               Date</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2026-07-16T15:40:36.613Z</dcterms:created>
  <dcterms:modified xsi:type="dcterms:W3CDTF">2026-07-16T15:40:36.613Z</dcterms:modified>
</cp:coreProperties>
</file>

<file path=docProps/custom.xml><?xml version="1.0" encoding="utf-8"?>
<Properties xmlns="http://schemas.openxmlformats.org/officeDocument/2006/custom-properties" xmlns:vt="http://schemas.openxmlformats.org/officeDocument/2006/docPropsVTypes"/>
</file>